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6F" w:rsidRPr="0048356F" w:rsidRDefault="0048356F" w:rsidP="0048356F">
      <w:pPr>
        <w:widowControl/>
        <w:spacing w:before="100" w:beforeAutospacing="1" w:after="100" w:afterAutospacing="1"/>
        <w:jc w:val="center"/>
        <w:outlineLvl w:val="2"/>
        <w:rPr>
          <w:rFonts w:ascii="標楷體" w:eastAsia="標楷體" w:hAnsi="標楷體" w:cs="新細明體"/>
          <w:b/>
          <w:bCs/>
          <w:color w:val="800000"/>
          <w:kern w:val="0"/>
          <w:sz w:val="44"/>
          <w:szCs w:val="44"/>
        </w:rPr>
      </w:pPr>
      <w:r w:rsidRPr="0048356F">
        <w:rPr>
          <w:rFonts w:ascii="標楷體" w:eastAsia="標楷體" w:hAnsi="標楷體" w:cs="新細明體"/>
          <w:b/>
          <w:bCs/>
          <w:color w:val="800000"/>
          <w:kern w:val="0"/>
          <w:sz w:val="44"/>
          <w:szCs w:val="44"/>
        </w:rPr>
        <w:t>儲蓄互助社法</w:t>
      </w:r>
    </w:p>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b/>
          <w:bCs/>
          <w:color w:val="800000"/>
          <w:kern w:val="0"/>
          <w:szCs w:val="24"/>
        </w:rPr>
        <w:t xml:space="preserve">【制定/修正日期】民國90年1月16日 </w:t>
      </w:r>
      <w:r w:rsidRPr="0048356F">
        <w:rPr>
          <w:rFonts w:ascii="新細明體" w:eastAsia="新細明體" w:hAnsi="新細明體" w:cs="新細明體"/>
          <w:b/>
          <w:bCs/>
          <w:color w:val="800000"/>
          <w:kern w:val="0"/>
          <w:szCs w:val="24"/>
        </w:rPr>
        <w:br/>
        <w:t>【公布/施行日期】民國91年2月6日</w:t>
      </w:r>
      <w:r w:rsidRPr="0048356F">
        <w:rPr>
          <w:rFonts w:ascii="新細明體" w:eastAsia="新細明體" w:hAnsi="新細明體" w:cs="新細明體"/>
          <w:kern w:val="0"/>
          <w:szCs w:val="24"/>
        </w:rPr>
        <w:t xml:space="preserve"> </w:t>
      </w:r>
      <w:r w:rsidRPr="0048356F">
        <w:rPr>
          <w:rFonts w:ascii="新細明體" w:eastAsia="新細明體" w:hAnsi="新細明體" w:cs="新細明體"/>
          <w:b/>
          <w:bCs/>
          <w:kern w:val="0"/>
          <w:szCs w:val="24"/>
        </w:rPr>
        <w:br/>
        <w:t>【法規沿革】</w:t>
      </w:r>
      <w:r w:rsidRPr="0048356F">
        <w:rPr>
          <w:rFonts w:ascii="新細明體" w:eastAsia="新細明體" w:hAnsi="新細明體" w:cs="新細明體"/>
          <w:kern w:val="0"/>
          <w:szCs w:val="24"/>
        </w:rPr>
        <w:t xml:space="preserve"> </w:t>
      </w:r>
    </w:p>
    <w:tbl>
      <w:tblPr>
        <w:tblW w:w="497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693"/>
      </w:tblGrid>
      <w:tr w:rsidR="0048356F" w:rsidRPr="0048356F" w:rsidTr="0048356F">
        <w:trPr>
          <w:tblCellSpacing w:w="15" w:type="dxa"/>
        </w:trPr>
        <w:tc>
          <w:tcPr>
            <w:tcW w:w="4969" w:type="pct"/>
            <w:vAlign w:val="center"/>
            <w:hideMark/>
          </w:tcPr>
          <w:p w:rsidR="0048356F" w:rsidRDefault="0048356F" w:rsidP="0048356F">
            <w:pPr>
              <w:widowControl/>
              <w:ind w:left="141" w:hangingChars="64" w:hanging="141"/>
              <w:rPr>
                <w:rFonts w:ascii="新細明體" w:eastAsia="新細明體" w:hAnsi="新細明體" w:cs="新細明體" w:hint="eastAsia"/>
                <w:kern w:val="0"/>
                <w:sz w:val="22"/>
              </w:rPr>
            </w:pPr>
            <w:r w:rsidRPr="0048356F">
              <w:rPr>
                <w:rFonts w:ascii="新細明體" w:eastAsia="新細明體" w:hAnsi="新細明體" w:cs="新細明體"/>
                <w:b/>
                <w:bCs/>
                <w:kern w:val="0"/>
                <w:sz w:val="22"/>
              </w:rPr>
              <w:t>1.</w:t>
            </w:r>
            <w:r w:rsidRPr="0048356F">
              <w:rPr>
                <w:rFonts w:ascii="新細明體" w:eastAsia="新細明體" w:hAnsi="新細明體" w:cs="新細明體"/>
                <w:kern w:val="0"/>
                <w:sz w:val="22"/>
              </w:rPr>
              <w:t>中華民國八十六年五月二十一日總統(86)華總(</w:t>
            </w:r>
            <w:proofErr w:type="gramStart"/>
            <w:r w:rsidRPr="0048356F">
              <w:rPr>
                <w:rFonts w:ascii="新細明體" w:eastAsia="新細明體" w:hAnsi="新細明體" w:cs="新細明體"/>
                <w:kern w:val="0"/>
                <w:sz w:val="22"/>
              </w:rPr>
              <w:t>一</w:t>
            </w:r>
            <w:proofErr w:type="gramEnd"/>
            <w:r w:rsidRPr="0048356F">
              <w:rPr>
                <w:rFonts w:ascii="新細明體" w:eastAsia="新細明體" w:hAnsi="新細明體" w:cs="新細明體"/>
                <w:kern w:val="0"/>
                <w:sz w:val="22"/>
              </w:rPr>
              <w:t>)</w:t>
            </w:r>
            <w:proofErr w:type="gramStart"/>
            <w:r w:rsidRPr="0048356F">
              <w:rPr>
                <w:rFonts w:ascii="新細明體" w:eastAsia="新細明體" w:hAnsi="新細明體" w:cs="新細明體"/>
                <w:kern w:val="0"/>
                <w:sz w:val="22"/>
              </w:rPr>
              <w:t>義字第8600119880</w:t>
            </w:r>
            <w:proofErr w:type="gramEnd"/>
            <w:r w:rsidRPr="0048356F">
              <w:rPr>
                <w:rFonts w:ascii="新細明體" w:eastAsia="新細明體" w:hAnsi="新細明體" w:cs="新細明體"/>
                <w:kern w:val="0"/>
                <w:sz w:val="22"/>
              </w:rPr>
              <w:t xml:space="preserve">號令制定公布全文35條 </w:t>
            </w:r>
          </w:p>
          <w:p w:rsidR="0048356F" w:rsidRDefault="0048356F" w:rsidP="0048356F">
            <w:pPr>
              <w:widowControl/>
              <w:ind w:left="141" w:hangingChars="64" w:hanging="141"/>
              <w:rPr>
                <w:rFonts w:ascii="新細明體" w:eastAsia="新細明體" w:hAnsi="新細明體" w:cs="新細明體" w:hint="eastAsia"/>
                <w:kern w:val="0"/>
                <w:sz w:val="22"/>
              </w:rPr>
            </w:pPr>
            <w:r w:rsidRPr="0048356F">
              <w:rPr>
                <w:rFonts w:ascii="新細明體" w:eastAsia="新細明體" w:hAnsi="新細明體" w:cs="新細明體"/>
                <w:b/>
                <w:bCs/>
                <w:kern w:val="0"/>
                <w:sz w:val="22"/>
              </w:rPr>
              <w:t>2.</w:t>
            </w:r>
            <w:r w:rsidRPr="0048356F">
              <w:rPr>
                <w:rFonts w:ascii="新細明體" w:eastAsia="新細明體" w:hAnsi="新細明體" w:cs="新細明體"/>
                <w:kern w:val="0"/>
                <w:sz w:val="22"/>
              </w:rPr>
              <w:t>中華民國八十九年一月二十六日總統(89)華總</w:t>
            </w:r>
            <w:proofErr w:type="gramStart"/>
            <w:r w:rsidRPr="0048356F">
              <w:rPr>
                <w:rFonts w:ascii="新細明體" w:eastAsia="新細明體" w:hAnsi="新細明體" w:cs="新細明體"/>
                <w:kern w:val="0"/>
                <w:sz w:val="22"/>
              </w:rPr>
              <w:t>一義字第8900022110</w:t>
            </w:r>
            <w:proofErr w:type="gramEnd"/>
            <w:r w:rsidRPr="0048356F">
              <w:rPr>
                <w:rFonts w:ascii="新細明體" w:eastAsia="新細明體" w:hAnsi="新細明體" w:cs="新細明體"/>
                <w:kern w:val="0"/>
                <w:sz w:val="22"/>
              </w:rPr>
              <w:t>號令修正公布第2、5、7～9、11、15、22、29條條文；並刪除第10</w:t>
            </w:r>
            <w:proofErr w:type="gramStart"/>
            <w:r w:rsidRPr="0048356F">
              <w:rPr>
                <w:rFonts w:ascii="新細明體" w:eastAsia="新細明體" w:hAnsi="新細明體" w:cs="新細明體"/>
                <w:kern w:val="0"/>
                <w:sz w:val="22"/>
              </w:rPr>
              <w:t>條</w:t>
            </w:r>
            <w:proofErr w:type="gramEnd"/>
            <w:r w:rsidRPr="0048356F">
              <w:rPr>
                <w:rFonts w:ascii="新細明體" w:eastAsia="新細明體" w:hAnsi="新細明體" w:cs="新細明體"/>
                <w:kern w:val="0"/>
                <w:sz w:val="22"/>
              </w:rPr>
              <w:t xml:space="preserve">條文 </w:t>
            </w:r>
          </w:p>
          <w:p w:rsidR="0048356F" w:rsidRPr="0048356F" w:rsidRDefault="0048356F" w:rsidP="0048356F">
            <w:pPr>
              <w:widowControl/>
              <w:ind w:left="141" w:hangingChars="64" w:hanging="141"/>
              <w:rPr>
                <w:rFonts w:ascii="新細明體" w:eastAsia="新細明體" w:hAnsi="新細明體" w:cs="新細明體"/>
                <w:kern w:val="0"/>
                <w:sz w:val="22"/>
              </w:rPr>
            </w:pPr>
            <w:r w:rsidRPr="0048356F">
              <w:rPr>
                <w:rFonts w:ascii="新細明體" w:eastAsia="新細明體" w:hAnsi="新細明體" w:cs="新細明體"/>
                <w:b/>
                <w:bCs/>
                <w:kern w:val="0"/>
                <w:sz w:val="22"/>
              </w:rPr>
              <w:t>3.</w:t>
            </w:r>
            <w:r w:rsidRPr="0048356F">
              <w:rPr>
                <w:rFonts w:ascii="新細明體" w:eastAsia="新細明體" w:hAnsi="新細明體" w:cs="新細明體"/>
                <w:kern w:val="0"/>
                <w:sz w:val="22"/>
              </w:rPr>
              <w:t>中華民國九十一年二月六日總統(91)華總</w:t>
            </w:r>
            <w:proofErr w:type="gramStart"/>
            <w:r w:rsidRPr="0048356F">
              <w:rPr>
                <w:rFonts w:ascii="新細明體" w:eastAsia="新細明體" w:hAnsi="新細明體" w:cs="新細明體"/>
                <w:kern w:val="0"/>
                <w:sz w:val="22"/>
              </w:rPr>
              <w:t>一義字第09100025060</w:t>
            </w:r>
            <w:proofErr w:type="gramEnd"/>
            <w:r w:rsidRPr="0048356F">
              <w:rPr>
                <w:rFonts w:ascii="新細明體" w:eastAsia="新細明體" w:hAnsi="新細明體" w:cs="新細明體"/>
                <w:kern w:val="0"/>
                <w:sz w:val="22"/>
              </w:rPr>
              <w:t>號令修正公布第</w:t>
            </w:r>
            <w:hyperlink r:id="rId5" w:anchor="a2" w:history="1">
              <w:r w:rsidRPr="0048356F">
                <w:rPr>
                  <w:rFonts w:ascii="新細明體" w:eastAsia="新細明體" w:hAnsi="新細明體" w:cs="新細明體"/>
                  <w:color w:val="0000FF"/>
                  <w:kern w:val="0"/>
                  <w:sz w:val="22"/>
                  <w:u w:val="single"/>
                </w:rPr>
                <w:t>2</w:t>
              </w:r>
            </w:hyperlink>
            <w:r w:rsidRPr="0048356F">
              <w:rPr>
                <w:rFonts w:ascii="新細明體" w:eastAsia="新細明體" w:hAnsi="新細明體" w:cs="新細明體"/>
                <w:kern w:val="0"/>
                <w:sz w:val="22"/>
              </w:rPr>
              <w:t>、</w:t>
            </w:r>
            <w:hyperlink r:id="rId6" w:anchor="a13" w:history="1">
              <w:r w:rsidRPr="0048356F">
                <w:rPr>
                  <w:rFonts w:ascii="新細明體" w:eastAsia="新細明體" w:hAnsi="新細明體" w:cs="新細明體"/>
                  <w:color w:val="0000FF"/>
                  <w:kern w:val="0"/>
                  <w:sz w:val="22"/>
                  <w:u w:val="single"/>
                </w:rPr>
                <w:t>13</w:t>
              </w:r>
            </w:hyperlink>
            <w:r w:rsidRPr="0048356F">
              <w:rPr>
                <w:rFonts w:ascii="新細明體" w:eastAsia="新細明體" w:hAnsi="新細明體" w:cs="新細明體"/>
                <w:kern w:val="0"/>
                <w:sz w:val="22"/>
              </w:rPr>
              <w:t>、</w:t>
            </w:r>
            <w:hyperlink r:id="rId7" w:anchor="a22" w:history="1">
              <w:r w:rsidRPr="0048356F">
                <w:rPr>
                  <w:rFonts w:ascii="新細明體" w:eastAsia="新細明體" w:hAnsi="新細明體" w:cs="新細明體"/>
                  <w:color w:val="0000FF"/>
                  <w:kern w:val="0"/>
                  <w:sz w:val="22"/>
                  <w:u w:val="single"/>
                </w:rPr>
                <w:t>22</w:t>
              </w:r>
            </w:hyperlink>
            <w:r w:rsidRPr="0048356F">
              <w:rPr>
                <w:rFonts w:ascii="新細明體" w:eastAsia="新細明體" w:hAnsi="新細明體" w:cs="新細明體"/>
                <w:kern w:val="0"/>
                <w:sz w:val="22"/>
              </w:rPr>
              <w:t>、</w:t>
            </w:r>
            <w:hyperlink r:id="rId8" w:anchor="a29" w:history="1">
              <w:r w:rsidRPr="0048356F">
                <w:rPr>
                  <w:rFonts w:ascii="新細明體" w:eastAsia="新細明體" w:hAnsi="新細明體" w:cs="新細明體"/>
                  <w:color w:val="0000FF"/>
                  <w:kern w:val="0"/>
                  <w:sz w:val="22"/>
                  <w:u w:val="single"/>
                </w:rPr>
                <w:t>29</w:t>
              </w:r>
            </w:hyperlink>
            <w:r w:rsidRPr="0048356F">
              <w:rPr>
                <w:rFonts w:ascii="新細明體" w:eastAsia="新細明體" w:hAnsi="新細明體" w:cs="新細明體"/>
                <w:kern w:val="0"/>
                <w:sz w:val="22"/>
              </w:rPr>
              <w:t>、</w:t>
            </w:r>
            <w:hyperlink r:id="rId9" w:anchor="a30" w:history="1">
              <w:r w:rsidRPr="0048356F">
                <w:rPr>
                  <w:rFonts w:ascii="新細明體" w:eastAsia="新細明體" w:hAnsi="新細明體" w:cs="新細明體"/>
                  <w:color w:val="0000FF"/>
                  <w:kern w:val="0"/>
                  <w:sz w:val="22"/>
                  <w:u w:val="single"/>
                </w:rPr>
                <w:t>30</w:t>
              </w:r>
            </w:hyperlink>
            <w:r w:rsidRPr="0048356F">
              <w:rPr>
                <w:rFonts w:ascii="新細明體" w:eastAsia="新細明體" w:hAnsi="新細明體" w:cs="新細明體"/>
                <w:kern w:val="0"/>
                <w:sz w:val="22"/>
              </w:rPr>
              <w:t>條條文；並增訂第</w:t>
            </w:r>
            <w:hyperlink r:id="rId10" w:anchor="a131" w:history="1">
              <w:r w:rsidRPr="0048356F">
                <w:rPr>
                  <w:rFonts w:ascii="新細明體" w:eastAsia="新細明體" w:hAnsi="新細明體" w:cs="新細明體"/>
                  <w:color w:val="0000FF"/>
                  <w:kern w:val="0"/>
                  <w:sz w:val="22"/>
                  <w:u w:val="single"/>
                </w:rPr>
                <w:t>13-1</w:t>
              </w:r>
            </w:hyperlink>
            <w:r w:rsidRPr="0048356F">
              <w:rPr>
                <w:rFonts w:ascii="新細明體" w:eastAsia="新細明體" w:hAnsi="新細明體" w:cs="新細明體"/>
                <w:kern w:val="0"/>
                <w:sz w:val="22"/>
              </w:rPr>
              <w:t>條條文</w:t>
            </w:r>
          </w:p>
        </w:tc>
      </w:tr>
    </w:tbl>
    <w:p w:rsidR="0048356F" w:rsidRDefault="0048356F" w:rsidP="0048356F">
      <w:pPr>
        <w:widowControl/>
        <w:rPr>
          <w:rFonts w:ascii="新細明體" w:eastAsia="新細明體" w:hAnsi="新細明體" w:cs="新細明體" w:hint="eastAsia"/>
          <w:color w:val="800000"/>
          <w:kern w:val="0"/>
          <w:szCs w:val="24"/>
        </w:rPr>
      </w:pPr>
      <w:r w:rsidRPr="0048356F">
        <w:rPr>
          <w:rFonts w:ascii="新細明體" w:eastAsia="新細明體" w:hAnsi="新細明體" w:cs="新細明體"/>
          <w:b/>
          <w:bCs/>
          <w:kern w:val="0"/>
          <w:szCs w:val="24"/>
        </w:rPr>
        <w:br/>
        <w:t>【法規內容】</w:t>
      </w:r>
      <w:r w:rsidRPr="0048356F">
        <w:rPr>
          <w:rFonts w:ascii="新細明體" w:eastAsia="新細明體" w:hAnsi="新細明體" w:cs="新細明體"/>
          <w:b/>
          <w:bCs/>
          <w:kern w:val="0"/>
          <w:szCs w:val="24"/>
        </w:rPr>
        <w:br/>
      </w:r>
      <w:r w:rsidRPr="0048356F">
        <w:rPr>
          <w:rFonts w:ascii="新細明體" w:eastAsia="新細明體" w:hAnsi="新細明體" w:cs="新細明體"/>
          <w:color w:val="800000"/>
          <w:kern w:val="0"/>
          <w:szCs w:val="24"/>
        </w:rPr>
        <w:t xml:space="preserve">第一條（立法目的） </w:t>
      </w:r>
    </w:p>
    <w:p w:rsidR="00FC67C7" w:rsidRDefault="00FC67C7" w:rsidP="0048356F">
      <w:pPr>
        <w:widowControl/>
        <w:rPr>
          <w:rFonts w:ascii="新細明體" w:eastAsia="新細明體" w:hAnsi="新細明體" w:cs="新細明體" w:hint="eastAsia"/>
          <w:kern w:val="0"/>
          <w:szCs w:val="24"/>
        </w:rPr>
      </w:pPr>
      <w:r w:rsidRPr="0048356F">
        <w:rPr>
          <w:rFonts w:ascii="新細明體" w:eastAsia="新細明體" w:hAnsi="新細明體" w:cs="新細明體"/>
          <w:kern w:val="0"/>
          <w:szCs w:val="24"/>
        </w:rPr>
        <w:t xml:space="preserve">　　為健全儲蓄互助社經營發展，維護社員權益，改善基層民眾互助資金之流通，發揮社會安全制度功能，特制定本法。</w:t>
      </w:r>
      <w:bookmarkStart w:id="0" w:name="a2"/>
      <w:bookmarkEnd w:id="0"/>
    </w:p>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第二條（儲蓄互助社定義）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儲蓄互助社為法人。</w:t>
            </w:r>
          </w:p>
        </w:tc>
      </w:tr>
    </w:tbl>
    <w:p w:rsidR="0048356F" w:rsidRDefault="00FC67C7" w:rsidP="0048356F">
      <w:pPr>
        <w:widowControl/>
        <w:rPr>
          <w:rFonts w:ascii="新細明體" w:eastAsia="新細明體" w:hAnsi="新細明體" w:cs="新細明體" w:hint="eastAsia"/>
          <w:kern w:val="0"/>
          <w:szCs w:val="24"/>
        </w:rPr>
      </w:pPr>
      <w:r w:rsidRPr="0048356F">
        <w:rPr>
          <w:rFonts w:ascii="新細明體" w:eastAsia="新細明體" w:hAnsi="新細明體" w:cs="新細明體"/>
          <w:kern w:val="0"/>
          <w:szCs w:val="24"/>
        </w:rPr>
        <w:t xml:space="preserve">　　本法所稱儲蓄互助社，係指本法公布施行前已成立或依法新設立，且具共同關係之自然人及非營利法人所組成之非營利社團法人。</w:t>
      </w:r>
    </w:p>
    <w:p w:rsidR="00FC67C7" w:rsidRDefault="00FC67C7" w:rsidP="0048356F">
      <w:pPr>
        <w:widowControl/>
        <w:rPr>
          <w:rFonts w:ascii="新細明體" w:eastAsia="新細明體" w:hAnsi="新細明體" w:cs="新細明體" w:hint="eastAsia"/>
          <w:kern w:val="0"/>
          <w:szCs w:val="24"/>
        </w:rPr>
      </w:pPr>
      <w:r w:rsidRPr="0048356F">
        <w:rPr>
          <w:rFonts w:ascii="新細明體" w:eastAsia="新細明體" w:hAnsi="新細明體" w:cs="新細明體"/>
          <w:kern w:val="0"/>
          <w:szCs w:val="24"/>
        </w:rPr>
        <w:t xml:space="preserve">　　前項所稱共同關係，乃指工作於同一公司、工廠或職業團體、或參加同一社團或宗教團體或原住民團體、或居住於同一鄉、</w:t>
      </w:r>
      <w:proofErr w:type="gramStart"/>
      <w:r w:rsidRPr="0048356F">
        <w:rPr>
          <w:rFonts w:ascii="新細明體" w:eastAsia="新細明體" w:hAnsi="新細明體" w:cs="新細明體"/>
          <w:kern w:val="0"/>
          <w:szCs w:val="24"/>
        </w:rPr>
        <w:t>鎮者</w:t>
      </w:r>
      <w:proofErr w:type="gramEnd"/>
      <w:r w:rsidRPr="0048356F">
        <w:rPr>
          <w:rFonts w:ascii="新細明體" w:eastAsia="新細明體" w:hAnsi="新細明體" w:cs="新細明體"/>
          <w:kern w:val="0"/>
          <w:szCs w:val="24"/>
        </w:rPr>
        <w:t>。</w:t>
      </w:r>
    </w:p>
    <w:p w:rsidR="00FC67C7" w:rsidRDefault="00FC67C7" w:rsidP="0048356F">
      <w:pPr>
        <w:widowControl/>
        <w:rPr>
          <w:rFonts w:ascii="新細明體" w:eastAsia="新細明體" w:hAnsi="新細明體" w:cs="新細明體" w:hint="eastAsia"/>
          <w:kern w:val="0"/>
          <w:szCs w:val="24"/>
        </w:rPr>
      </w:pPr>
      <w:r w:rsidRPr="0048356F">
        <w:rPr>
          <w:rFonts w:ascii="新細明體" w:eastAsia="新細明體" w:hAnsi="新細明體" w:cs="新細明體"/>
          <w:kern w:val="0"/>
          <w:szCs w:val="24"/>
        </w:rPr>
        <w:t xml:space="preserve">　　無共同關係而參加儲蓄互助社者無效。但於本法修正前已參加者，不在此限。</w:t>
      </w:r>
    </w:p>
    <w:p w:rsidR="0048356F" w:rsidRPr="0048356F" w:rsidRDefault="00FC67C7"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kern w:val="0"/>
          <w:szCs w:val="24"/>
        </w:rPr>
        <w:t xml:space="preserve">　　社員喪失共同關係者，於喪失共同關係起二年內仍為社員。</w:t>
      </w:r>
      <w:r w:rsidR="0048356F" w:rsidRPr="0048356F">
        <w:rPr>
          <w:rFonts w:ascii="新細明體" w:eastAsia="新細明體" w:hAnsi="新細明體" w:cs="新細明體"/>
          <w:color w:val="666666"/>
          <w:kern w:val="0"/>
          <w:szCs w:val="24"/>
        </w:rPr>
        <w:t>【參考裁判】</w:t>
      </w:r>
      <w:hyperlink r:id="rId11" w:anchor="a儲蓄互助社法第二條" w:history="1">
        <w:r w:rsidR="0048356F" w:rsidRPr="0048356F">
          <w:rPr>
            <w:rFonts w:ascii="新細明體" w:eastAsia="新細明體" w:hAnsi="新細明體" w:cs="新細明體"/>
            <w:color w:val="0000FF"/>
            <w:kern w:val="0"/>
            <w:szCs w:val="24"/>
            <w:u w:val="single"/>
          </w:rPr>
          <w:t>91,訴,1243</w:t>
        </w:r>
      </w:hyperlink>
      <w:r w:rsidR="0048356F" w:rsidRPr="0048356F">
        <w:rPr>
          <w:rFonts w:ascii="新細明體" w:eastAsia="新細明體" w:hAnsi="新細明體" w:cs="新細明體"/>
          <w:color w:val="800000"/>
          <w:kern w:val="0"/>
          <w:szCs w:val="24"/>
        </w:rPr>
        <w:t xml:space="preserve"> </w:t>
      </w:r>
      <w:r w:rsidR="0048356F" w:rsidRPr="0048356F">
        <w:rPr>
          <w:rFonts w:ascii="新細明體" w:eastAsia="新細明體" w:hAnsi="新細明體" w:cs="新細明體"/>
          <w:color w:val="800000"/>
          <w:kern w:val="0"/>
          <w:szCs w:val="24"/>
        </w:rPr>
        <w:br/>
        <w:t xml:space="preserve">第三條（有限責任制）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w:t>
            </w:r>
            <w:proofErr w:type="gramStart"/>
            <w:r w:rsidRPr="0048356F">
              <w:rPr>
                <w:rFonts w:ascii="新細明體" w:eastAsia="新細明體" w:hAnsi="新細明體" w:cs="新細明體"/>
                <w:kern w:val="0"/>
                <w:szCs w:val="24"/>
              </w:rPr>
              <w:t>採</w:t>
            </w:r>
            <w:proofErr w:type="gramEnd"/>
            <w:r w:rsidRPr="0048356F">
              <w:rPr>
                <w:rFonts w:ascii="新細明體" w:eastAsia="新細明體" w:hAnsi="新細明體" w:cs="新細明體"/>
                <w:kern w:val="0"/>
                <w:szCs w:val="24"/>
              </w:rPr>
              <w:t>有限責任制，社員以其股金為限負其責任。</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第四條（中華民國儲蓄互助協會）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本法所稱中華民國儲蓄互助協會（以下簡稱協會），係指由全體儲蓄互助社共同組成之社團法人，凡已成立之儲蓄互助</w:t>
            </w:r>
            <w:proofErr w:type="gramStart"/>
            <w:r w:rsidRPr="0048356F">
              <w:rPr>
                <w:rFonts w:ascii="新細明體" w:eastAsia="新細明體" w:hAnsi="新細明體" w:cs="新細明體"/>
                <w:kern w:val="0"/>
                <w:szCs w:val="24"/>
              </w:rPr>
              <w:t>社均應參加</w:t>
            </w:r>
            <w:proofErr w:type="gramEnd"/>
            <w:r w:rsidRPr="0048356F">
              <w:rPr>
                <w:rFonts w:ascii="新細明體" w:eastAsia="新細明體" w:hAnsi="新細明體" w:cs="新細明體"/>
                <w:kern w:val="0"/>
                <w:szCs w:val="24"/>
              </w:rPr>
              <w:t>協會為會員。</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儲蓄互助社之管理與監督，由協會依本法之規定執行。</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第五條（主管機關）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儲蓄互助社之主管機關：在中央為內政部；在直轄市為直轄市政府；在縣（市）為縣（市）政府。</w:t>
            </w:r>
          </w:p>
        </w:tc>
      </w:tr>
    </w:tbl>
    <w:p w:rsidR="0048356F" w:rsidRPr="0048356F" w:rsidRDefault="0048356F" w:rsidP="0048356F">
      <w:pPr>
        <w:widowControl/>
        <w:rPr>
          <w:rFonts w:ascii="新細明體" w:eastAsia="新細明體" w:hAnsi="新細明體" w:cs="新細明體"/>
          <w:color w:val="800000"/>
          <w:kern w:val="0"/>
          <w:szCs w:val="24"/>
        </w:rPr>
      </w:pPr>
      <w:bookmarkStart w:id="1" w:name="a6"/>
      <w:bookmarkEnd w:id="1"/>
      <w:r w:rsidRPr="0048356F">
        <w:rPr>
          <w:rFonts w:ascii="新細明體" w:eastAsia="新細明體" w:hAnsi="新細明體" w:cs="新細明體"/>
          <w:color w:val="800000"/>
          <w:kern w:val="0"/>
          <w:szCs w:val="24"/>
        </w:rPr>
        <w:t>第六條（名稱應標明儲蓄互助社）【相關罰則】</w:t>
      </w:r>
      <w:hyperlink r:id="rId12" w:anchor="a31" w:history="1">
        <w:r w:rsidRPr="0048356F">
          <w:rPr>
            <w:rFonts w:ascii="新細明體" w:eastAsia="新細明體" w:hAnsi="新細明體" w:cs="新細明體"/>
            <w:color w:val="0000FF"/>
            <w:kern w:val="0"/>
            <w:szCs w:val="24"/>
            <w:u w:val="single"/>
          </w:rPr>
          <w:t>§31</w:t>
        </w:r>
      </w:hyperlink>
      <w:r w:rsidRPr="0048356F">
        <w:rPr>
          <w:rFonts w:ascii="新細明體" w:eastAsia="新細明體" w:hAnsi="新細明體" w:cs="新細明體"/>
          <w:color w:val="800000"/>
          <w:kern w:val="0"/>
          <w:szCs w:val="24"/>
        </w:rPr>
        <w:t xml:space="preserve">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儲蓄互助社應於名稱上標明；非依本法規定，不得使用儲蓄互助社之名稱。</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第七條（儲蓄互助社之設立、管理與輔導）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儲蓄互助社之設立、管理、監督與輔導，由協會辦理。</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前項設立、管理、監督與輔導辦法由協會定之，並送中央主管機關核備。</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lastRenderedPageBreak/>
        <w:t xml:space="preserve">第八條（免稅）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依本法設立之儲蓄互助社組織，依法經營者，免徵所得稅及營業稅。</w:t>
            </w:r>
          </w:p>
        </w:tc>
      </w:tr>
    </w:tbl>
    <w:p w:rsidR="0048356F" w:rsidRPr="0048356F" w:rsidRDefault="0048356F" w:rsidP="0048356F">
      <w:pPr>
        <w:widowControl/>
        <w:rPr>
          <w:rFonts w:ascii="新細明體" w:eastAsia="新細明體" w:hAnsi="新細明體" w:cs="新細明體"/>
          <w:color w:val="800000"/>
          <w:kern w:val="0"/>
          <w:szCs w:val="24"/>
        </w:rPr>
      </w:pPr>
      <w:bookmarkStart w:id="2" w:name="a9"/>
      <w:bookmarkEnd w:id="2"/>
      <w:r w:rsidRPr="0048356F">
        <w:rPr>
          <w:rFonts w:ascii="新細明體" w:eastAsia="新細明體" w:hAnsi="新細明體" w:cs="新細明體"/>
          <w:color w:val="800000"/>
          <w:kern w:val="0"/>
          <w:szCs w:val="24"/>
        </w:rPr>
        <w:t>第九條（儲蓄互助社之任務）【相關罰則】</w:t>
      </w:r>
      <w:hyperlink r:id="rId13" w:anchor="a33" w:history="1">
        <w:r w:rsidRPr="0048356F">
          <w:rPr>
            <w:rFonts w:ascii="新細明體" w:eastAsia="新細明體" w:hAnsi="新細明體" w:cs="新細明體"/>
            <w:color w:val="0000FF"/>
            <w:kern w:val="0"/>
            <w:szCs w:val="24"/>
            <w:u w:val="single"/>
          </w:rPr>
          <w:t>§33</w:t>
        </w:r>
      </w:hyperlink>
      <w:r w:rsidRPr="0048356F">
        <w:rPr>
          <w:rFonts w:ascii="新細明體" w:eastAsia="新細明體" w:hAnsi="新細明體" w:cs="新細明體"/>
          <w:color w:val="800000"/>
          <w:kern w:val="0"/>
          <w:szCs w:val="24"/>
        </w:rPr>
        <w:t xml:space="preserve">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儲蓄互助社之任務如下：</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一、收受社員股金。</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二、辦理社員放款。</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三、參加協會代辦之各項互助基金。</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四、代理收受社員水電費、瓦斯費、學費、電話費、稅金及罰鍰。</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五、參加協會資金融通。</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六、購買國家公債。</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七、其他經中央主管機關核可之相關事項。</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w:t>
            </w:r>
            <w:proofErr w:type="gramStart"/>
            <w:r w:rsidRPr="0048356F">
              <w:rPr>
                <w:rFonts w:ascii="新細明體" w:eastAsia="新細明體" w:hAnsi="新細明體" w:cs="新細明體"/>
                <w:kern w:val="0"/>
                <w:szCs w:val="24"/>
              </w:rPr>
              <w:t>互助社收受</w:t>
            </w:r>
            <w:proofErr w:type="gramEnd"/>
            <w:r w:rsidRPr="0048356F">
              <w:rPr>
                <w:rFonts w:ascii="新細明體" w:eastAsia="新細明體" w:hAnsi="新細明體" w:cs="新細明體"/>
                <w:kern w:val="0"/>
                <w:szCs w:val="24"/>
              </w:rPr>
              <w:t>社員股金不得有保本保息或固定收益之約定。</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第十條（刪除）</w:t>
      </w:r>
      <w:r w:rsidRPr="0048356F">
        <w:rPr>
          <w:rFonts w:ascii="新細明體" w:eastAsia="新細明體" w:hAnsi="新細明體" w:cs="新細明體"/>
          <w:color w:val="800000"/>
          <w:kern w:val="0"/>
          <w:szCs w:val="24"/>
        </w:rPr>
        <w:br/>
      </w:r>
      <w:bookmarkStart w:id="3" w:name="a11"/>
      <w:bookmarkEnd w:id="3"/>
      <w:r w:rsidRPr="0048356F">
        <w:rPr>
          <w:rFonts w:ascii="新細明體" w:eastAsia="新細明體" w:hAnsi="新細明體" w:cs="新細明體"/>
          <w:color w:val="800000"/>
          <w:kern w:val="0"/>
          <w:szCs w:val="24"/>
        </w:rPr>
        <w:t>第十一條（放款上限）【相關罰則】</w:t>
      </w:r>
      <w:hyperlink r:id="rId14" w:anchor="a33" w:history="1">
        <w:r w:rsidRPr="0048356F">
          <w:rPr>
            <w:rFonts w:ascii="新細明體" w:eastAsia="新細明體" w:hAnsi="新細明體" w:cs="新細明體"/>
            <w:color w:val="0000FF"/>
            <w:kern w:val="0"/>
            <w:szCs w:val="24"/>
            <w:u w:val="single"/>
          </w:rPr>
          <w:t>§33</w:t>
        </w:r>
      </w:hyperlink>
      <w:r w:rsidRPr="0048356F">
        <w:rPr>
          <w:rFonts w:ascii="新細明體" w:eastAsia="新細明體" w:hAnsi="新細明體" w:cs="新細明體"/>
          <w:color w:val="800000"/>
          <w:kern w:val="0"/>
          <w:szCs w:val="24"/>
        </w:rPr>
        <w:t xml:space="preserve"> </w:t>
      </w:r>
    </w:p>
    <w:tbl>
      <w:tblPr>
        <w:tblW w:w="4977" w:type="pct"/>
        <w:tblCellSpacing w:w="15" w:type="dxa"/>
        <w:tblCellMar>
          <w:top w:w="15" w:type="dxa"/>
          <w:left w:w="15" w:type="dxa"/>
          <w:bottom w:w="15" w:type="dxa"/>
          <w:right w:w="15" w:type="dxa"/>
        </w:tblCellMar>
        <w:tblLook w:val="04A0"/>
      </w:tblPr>
      <w:tblGrid>
        <w:gridCol w:w="9683"/>
      </w:tblGrid>
      <w:tr w:rsidR="0048356F" w:rsidRPr="0048356F" w:rsidTr="00FC67C7">
        <w:trPr>
          <w:tblCellSpacing w:w="15" w:type="dxa"/>
        </w:trPr>
        <w:tc>
          <w:tcPr>
            <w:tcW w:w="4969" w:type="pct"/>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儲蓄互助社對單一社員之放款總額不得超過該社股金與公積金總額百分之十。</w:t>
            </w:r>
          </w:p>
        </w:tc>
      </w:tr>
      <w:tr w:rsidR="0048356F" w:rsidRPr="0048356F" w:rsidTr="00FC67C7">
        <w:trPr>
          <w:tblCellSpacing w:w="15" w:type="dxa"/>
        </w:trPr>
        <w:tc>
          <w:tcPr>
            <w:tcW w:w="4969" w:type="pct"/>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儲蓄互助社放款總額不得超過該社自有資金總額。</w:t>
            </w:r>
          </w:p>
        </w:tc>
      </w:tr>
      <w:tr w:rsidR="0048356F" w:rsidRPr="0048356F" w:rsidTr="00FC67C7">
        <w:trPr>
          <w:tblCellSpacing w:w="15" w:type="dxa"/>
        </w:trPr>
        <w:tc>
          <w:tcPr>
            <w:tcW w:w="4969" w:type="pct"/>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前項所稱自有資金係指：社員股金、留置股金、資本公積、公積金、特別公積，未分配盈餘及本期損益。</w:t>
            </w:r>
          </w:p>
        </w:tc>
      </w:tr>
    </w:tbl>
    <w:p w:rsidR="0048356F" w:rsidRPr="0048356F" w:rsidRDefault="0048356F" w:rsidP="0048356F">
      <w:pPr>
        <w:widowControl/>
        <w:rPr>
          <w:rFonts w:ascii="新細明體" w:eastAsia="新細明體" w:hAnsi="新細明體" w:cs="新細明體"/>
          <w:color w:val="800000"/>
          <w:kern w:val="0"/>
          <w:szCs w:val="24"/>
        </w:rPr>
      </w:pPr>
      <w:bookmarkStart w:id="4" w:name="a12"/>
      <w:bookmarkEnd w:id="4"/>
      <w:r w:rsidRPr="0048356F">
        <w:rPr>
          <w:rFonts w:ascii="新細明體" w:eastAsia="新細明體" w:hAnsi="新細明體" w:cs="新細明體"/>
          <w:color w:val="800000"/>
          <w:kern w:val="0"/>
          <w:szCs w:val="24"/>
        </w:rPr>
        <w:t>第十二條（不得對非社員收受股金及放款之服務）【相關罰則】</w:t>
      </w:r>
      <w:hyperlink r:id="rId15" w:anchor="a33" w:history="1">
        <w:r w:rsidRPr="0048356F">
          <w:rPr>
            <w:rFonts w:ascii="新細明體" w:eastAsia="新細明體" w:hAnsi="新細明體" w:cs="新細明體"/>
            <w:color w:val="0000FF"/>
            <w:kern w:val="0"/>
            <w:szCs w:val="24"/>
            <w:u w:val="single"/>
          </w:rPr>
          <w:t>§33</w:t>
        </w:r>
      </w:hyperlink>
      <w:r w:rsidRPr="0048356F">
        <w:rPr>
          <w:rFonts w:ascii="新細明體" w:eastAsia="新細明體" w:hAnsi="新細明體" w:cs="新細明體"/>
          <w:color w:val="800000"/>
          <w:kern w:val="0"/>
          <w:szCs w:val="24"/>
        </w:rPr>
        <w:t xml:space="preserve">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儲蓄互助社不得對非社員為收受股金及放款之服務。</w:t>
            </w:r>
          </w:p>
        </w:tc>
      </w:tr>
    </w:tbl>
    <w:p w:rsidR="0048356F" w:rsidRPr="0048356F" w:rsidRDefault="0048356F" w:rsidP="0048356F">
      <w:pPr>
        <w:widowControl/>
        <w:rPr>
          <w:rFonts w:ascii="新細明體" w:eastAsia="新細明體" w:hAnsi="新細明體" w:cs="新細明體"/>
          <w:color w:val="800000"/>
          <w:kern w:val="0"/>
          <w:szCs w:val="24"/>
        </w:rPr>
      </w:pPr>
      <w:bookmarkStart w:id="5" w:name="a13"/>
      <w:bookmarkEnd w:id="5"/>
      <w:r w:rsidRPr="0048356F">
        <w:rPr>
          <w:rFonts w:ascii="新細明體" w:eastAsia="新細明體" w:hAnsi="新細明體" w:cs="新細明體"/>
          <w:color w:val="800000"/>
          <w:kern w:val="0"/>
          <w:szCs w:val="24"/>
        </w:rPr>
        <w:t>第十三條（社員認股之限制）【相關罰則】</w:t>
      </w:r>
      <w:hyperlink r:id="rId16" w:anchor="a33" w:history="1">
        <w:r w:rsidRPr="0048356F">
          <w:rPr>
            <w:rFonts w:ascii="新細明體" w:eastAsia="新細明體" w:hAnsi="新細明體" w:cs="新細明體"/>
            <w:color w:val="0000FF"/>
            <w:kern w:val="0"/>
            <w:szCs w:val="24"/>
            <w:u w:val="single"/>
          </w:rPr>
          <w:t>§33</w:t>
        </w:r>
      </w:hyperlink>
      <w:r w:rsidRPr="0048356F">
        <w:rPr>
          <w:rFonts w:ascii="新細明體" w:eastAsia="新細明體" w:hAnsi="新細明體" w:cs="新細明體"/>
          <w:color w:val="800000"/>
          <w:kern w:val="0"/>
          <w:szCs w:val="24"/>
        </w:rPr>
        <w:t xml:space="preserve"> </w:t>
      </w:r>
    </w:p>
    <w:tbl>
      <w:tblPr>
        <w:tblW w:w="4977" w:type="pct"/>
        <w:tblCellSpacing w:w="15" w:type="dxa"/>
        <w:tblCellMar>
          <w:top w:w="15" w:type="dxa"/>
          <w:left w:w="15" w:type="dxa"/>
          <w:bottom w:w="15" w:type="dxa"/>
          <w:right w:w="15" w:type="dxa"/>
        </w:tblCellMar>
        <w:tblLook w:val="04A0"/>
      </w:tblPr>
      <w:tblGrid>
        <w:gridCol w:w="8757"/>
        <w:gridCol w:w="926"/>
      </w:tblGrid>
      <w:tr w:rsidR="0048356F" w:rsidRPr="0048356F" w:rsidTr="00FC67C7">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社股金額為每股新臺幣</w:t>
            </w:r>
            <w:proofErr w:type="gramStart"/>
            <w:r w:rsidRPr="0048356F">
              <w:rPr>
                <w:rFonts w:ascii="新細明體" w:eastAsia="新細明體" w:hAnsi="新細明體" w:cs="新細明體"/>
                <w:kern w:val="0"/>
                <w:szCs w:val="24"/>
              </w:rPr>
              <w:t>一</w:t>
            </w:r>
            <w:proofErr w:type="gramEnd"/>
            <w:r w:rsidRPr="0048356F">
              <w:rPr>
                <w:rFonts w:ascii="新細明體" w:eastAsia="新細明體" w:hAnsi="新細明體" w:cs="新細明體"/>
                <w:kern w:val="0"/>
                <w:szCs w:val="24"/>
              </w:rPr>
              <w:t>百元，每一社員股金，至多不得超過社股金總額百分之十。</w:t>
            </w:r>
          </w:p>
        </w:tc>
      </w:tr>
      <w:tr w:rsidR="0048356F" w:rsidRPr="0048356F" w:rsidTr="00FC67C7">
        <w:trPr>
          <w:gridAfter w:val="1"/>
          <w:wAfter w:w="456"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前項股金繳納係社員之義務，具有儲蓄性質。</w:t>
            </w:r>
          </w:p>
        </w:tc>
      </w:tr>
    </w:tbl>
    <w:p w:rsidR="0048356F" w:rsidRPr="0048356F" w:rsidRDefault="0048356F" w:rsidP="0048356F">
      <w:pPr>
        <w:widowControl/>
        <w:rPr>
          <w:rFonts w:ascii="新細明體" w:eastAsia="新細明體" w:hAnsi="新細明體" w:cs="新細明體"/>
          <w:color w:val="800000"/>
          <w:kern w:val="0"/>
          <w:szCs w:val="24"/>
        </w:rPr>
      </w:pPr>
      <w:bookmarkStart w:id="6" w:name="a131"/>
      <w:bookmarkEnd w:id="6"/>
      <w:r w:rsidRPr="0048356F">
        <w:rPr>
          <w:rFonts w:ascii="新細明體" w:eastAsia="新細明體" w:hAnsi="新細明體" w:cs="新細明體"/>
          <w:color w:val="800000"/>
          <w:kern w:val="0"/>
          <w:szCs w:val="24"/>
        </w:rPr>
        <w:t>第十三條之</w:t>
      </w:r>
      <w:proofErr w:type="gramStart"/>
      <w:r w:rsidRPr="0048356F">
        <w:rPr>
          <w:rFonts w:ascii="新細明體" w:eastAsia="新細明體" w:hAnsi="新細明體" w:cs="新細明體"/>
          <w:color w:val="800000"/>
          <w:kern w:val="0"/>
          <w:szCs w:val="24"/>
        </w:rPr>
        <w:t>一</w:t>
      </w:r>
      <w:proofErr w:type="gramEnd"/>
      <w:r w:rsidRPr="0048356F">
        <w:rPr>
          <w:rFonts w:ascii="新細明體" w:eastAsia="新細明體" w:hAnsi="新細明體" w:cs="新細明體"/>
          <w:color w:val="800000"/>
          <w:kern w:val="0"/>
          <w:szCs w:val="24"/>
        </w:rPr>
        <w:t xml:space="preserve">（免稅之限制）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儲蓄互助社社員之儲蓄股金未達</w:t>
            </w:r>
            <w:proofErr w:type="gramStart"/>
            <w:r w:rsidRPr="0048356F">
              <w:rPr>
                <w:rFonts w:ascii="新細明體" w:eastAsia="新細明體" w:hAnsi="新細明體" w:cs="新細明體"/>
                <w:kern w:val="0"/>
                <w:szCs w:val="24"/>
              </w:rPr>
              <w:t>一</w:t>
            </w:r>
            <w:proofErr w:type="gramEnd"/>
            <w:r w:rsidRPr="0048356F">
              <w:rPr>
                <w:rFonts w:ascii="新細明體" w:eastAsia="新細明體" w:hAnsi="新細明體" w:cs="新細明體"/>
                <w:kern w:val="0"/>
                <w:szCs w:val="24"/>
              </w:rPr>
              <w:t>百萬元者，其股息所得免稅。</w:t>
            </w:r>
          </w:p>
        </w:tc>
      </w:tr>
    </w:tbl>
    <w:p w:rsidR="0048356F" w:rsidRPr="0048356F" w:rsidRDefault="0048356F" w:rsidP="0048356F">
      <w:pPr>
        <w:widowControl/>
        <w:rPr>
          <w:rFonts w:ascii="新細明體" w:eastAsia="新細明體" w:hAnsi="新細明體" w:cs="新細明體"/>
          <w:color w:val="800000"/>
          <w:kern w:val="0"/>
          <w:szCs w:val="24"/>
        </w:rPr>
      </w:pPr>
      <w:bookmarkStart w:id="7" w:name="a14"/>
      <w:bookmarkEnd w:id="7"/>
      <w:r w:rsidRPr="0048356F">
        <w:rPr>
          <w:rFonts w:ascii="新細明體" w:eastAsia="新細明體" w:hAnsi="新細明體" w:cs="新細明體"/>
          <w:color w:val="800000"/>
          <w:kern w:val="0"/>
          <w:szCs w:val="24"/>
        </w:rPr>
        <w:t>第十四條（社員退股之程序）【相關罰則】</w:t>
      </w:r>
      <w:hyperlink r:id="rId17" w:anchor="a33" w:history="1">
        <w:r w:rsidRPr="0048356F">
          <w:rPr>
            <w:rFonts w:ascii="新細明體" w:eastAsia="新細明體" w:hAnsi="新細明體" w:cs="新細明體"/>
            <w:color w:val="0000FF"/>
            <w:kern w:val="0"/>
            <w:szCs w:val="24"/>
            <w:u w:val="single"/>
          </w:rPr>
          <w:t>§33</w:t>
        </w:r>
      </w:hyperlink>
      <w:r w:rsidRPr="0048356F">
        <w:rPr>
          <w:rFonts w:ascii="新細明體" w:eastAsia="新細明體" w:hAnsi="新細明體" w:cs="新細明體"/>
          <w:color w:val="800000"/>
          <w:kern w:val="0"/>
          <w:szCs w:val="24"/>
        </w:rPr>
        <w:t xml:space="preserve"> </w:t>
      </w:r>
    </w:p>
    <w:tbl>
      <w:tblPr>
        <w:tblW w:w="4977" w:type="pct"/>
        <w:tblCellSpacing w:w="15" w:type="dxa"/>
        <w:tblCellMar>
          <w:top w:w="15" w:type="dxa"/>
          <w:left w:w="15" w:type="dxa"/>
          <w:bottom w:w="15" w:type="dxa"/>
          <w:right w:w="15" w:type="dxa"/>
        </w:tblCellMar>
        <w:tblLook w:val="04A0"/>
      </w:tblPr>
      <w:tblGrid>
        <w:gridCol w:w="8757"/>
        <w:gridCol w:w="926"/>
      </w:tblGrid>
      <w:tr w:rsidR="0048356F" w:rsidRPr="0048356F" w:rsidTr="00FC67C7">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社員申請退股，須以書面提出之，並經理事會之同意。理事會於必要時得遲延支付退股之股金，但最遲不得超過同意退股之日起六十日。</w:t>
            </w:r>
          </w:p>
        </w:tc>
      </w:tr>
      <w:tr w:rsidR="0048356F" w:rsidRPr="0048356F" w:rsidTr="00FC67C7">
        <w:trPr>
          <w:gridAfter w:val="1"/>
          <w:wAfter w:w="45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社員於年度中退股，該部分當年度不得分配股息。</w:t>
            </w:r>
          </w:p>
        </w:tc>
      </w:tr>
      <w:tr w:rsidR="0048356F" w:rsidRPr="0048356F" w:rsidTr="00FC67C7">
        <w:trPr>
          <w:gridAfter w:val="1"/>
          <w:wAfter w:w="456"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第一項社員退股，於儲蓄互助社發生經營重大危機時，理事會得暫停社員退股申請，並於一個月內召開臨時社員大會。</w:t>
            </w:r>
          </w:p>
        </w:tc>
      </w:tr>
    </w:tbl>
    <w:p w:rsidR="0048356F" w:rsidRPr="0048356F" w:rsidRDefault="0048356F" w:rsidP="0048356F">
      <w:pPr>
        <w:widowControl/>
        <w:rPr>
          <w:rFonts w:ascii="新細明體" w:eastAsia="新細明體" w:hAnsi="新細明體" w:cs="新細明體"/>
          <w:color w:val="800000"/>
          <w:kern w:val="0"/>
          <w:szCs w:val="24"/>
        </w:rPr>
      </w:pPr>
      <w:bookmarkStart w:id="8" w:name="a15"/>
      <w:bookmarkEnd w:id="8"/>
      <w:r w:rsidRPr="0048356F">
        <w:rPr>
          <w:rFonts w:ascii="新細明體" w:eastAsia="新細明體" w:hAnsi="新細明體" w:cs="新細明體"/>
          <w:color w:val="800000"/>
          <w:kern w:val="0"/>
          <w:szCs w:val="24"/>
        </w:rPr>
        <w:t>第十五條（年度盈餘之</w:t>
      </w:r>
      <w:proofErr w:type="gramStart"/>
      <w:r w:rsidRPr="0048356F">
        <w:rPr>
          <w:rFonts w:ascii="新細明體" w:eastAsia="新細明體" w:hAnsi="新細明體" w:cs="新細明體"/>
          <w:color w:val="800000"/>
          <w:kern w:val="0"/>
          <w:szCs w:val="24"/>
        </w:rPr>
        <w:t>提撥</w:t>
      </w:r>
      <w:proofErr w:type="gramEnd"/>
      <w:r w:rsidRPr="0048356F">
        <w:rPr>
          <w:rFonts w:ascii="新細明體" w:eastAsia="新細明體" w:hAnsi="新細明體" w:cs="新細明體"/>
          <w:color w:val="800000"/>
          <w:kern w:val="0"/>
          <w:szCs w:val="24"/>
        </w:rPr>
        <w:t>或分配）【相關罰則】</w:t>
      </w:r>
      <w:hyperlink r:id="rId18" w:anchor="a33" w:history="1">
        <w:r w:rsidRPr="0048356F">
          <w:rPr>
            <w:rFonts w:ascii="新細明體" w:eastAsia="新細明體" w:hAnsi="新細明體" w:cs="新細明體"/>
            <w:color w:val="0000FF"/>
            <w:kern w:val="0"/>
            <w:szCs w:val="24"/>
            <w:u w:val="single"/>
          </w:rPr>
          <w:t>§33</w:t>
        </w:r>
      </w:hyperlink>
      <w:r w:rsidRPr="0048356F">
        <w:rPr>
          <w:rFonts w:ascii="新細明體" w:eastAsia="新細明體" w:hAnsi="新細明體" w:cs="新細明體"/>
          <w:color w:val="800000"/>
          <w:kern w:val="0"/>
          <w:szCs w:val="24"/>
        </w:rPr>
        <w:t xml:space="preserve">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儲蓄互助社之年度盈餘，依下列優先順序</w:t>
            </w:r>
            <w:proofErr w:type="gramStart"/>
            <w:r w:rsidRPr="0048356F">
              <w:rPr>
                <w:rFonts w:ascii="新細明體" w:eastAsia="新細明體" w:hAnsi="新細明體" w:cs="新細明體"/>
                <w:kern w:val="0"/>
                <w:szCs w:val="24"/>
              </w:rPr>
              <w:t>提撥</w:t>
            </w:r>
            <w:proofErr w:type="gramEnd"/>
            <w:r w:rsidRPr="0048356F">
              <w:rPr>
                <w:rFonts w:ascii="新細明體" w:eastAsia="新細明體" w:hAnsi="新細明體" w:cs="新細明體"/>
                <w:kern w:val="0"/>
                <w:szCs w:val="24"/>
              </w:rPr>
              <w:t>或分配：</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一、彌補累積虧損。</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二、利息攤還。</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三、公積金百分之二十以上。</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lastRenderedPageBreak/>
              <w:t xml:space="preserve">　　四、公益金及教育金百分之五。</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五、社股股息。</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前項所稱公積金達股金總額百分之二十時，得酌減</w:t>
            </w:r>
            <w:proofErr w:type="gramStart"/>
            <w:r w:rsidRPr="0048356F">
              <w:rPr>
                <w:rFonts w:ascii="新細明體" w:eastAsia="新細明體" w:hAnsi="新細明體" w:cs="新細明體"/>
                <w:kern w:val="0"/>
                <w:szCs w:val="24"/>
              </w:rPr>
              <w:t>提撥</w:t>
            </w:r>
            <w:proofErr w:type="gramEnd"/>
            <w:r w:rsidRPr="0048356F">
              <w:rPr>
                <w:rFonts w:ascii="新細明體" w:eastAsia="新細明體" w:hAnsi="新細明體" w:cs="新細明體"/>
                <w:kern w:val="0"/>
                <w:szCs w:val="24"/>
              </w:rPr>
              <w:t>比率。</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第十六條（社員大會） </w:t>
      </w:r>
    </w:p>
    <w:tbl>
      <w:tblPr>
        <w:tblW w:w="4977" w:type="pct"/>
        <w:tblCellSpacing w:w="15" w:type="dxa"/>
        <w:tblCellMar>
          <w:top w:w="15" w:type="dxa"/>
          <w:left w:w="15" w:type="dxa"/>
          <w:bottom w:w="15" w:type="dxa"/>
          <w:right w:w="15" w:type="dxa"/>
        </w:tblCellMar>
        <w:tblLook w:val="04A0"/>
      </w:tblPr>
      <w:tblGrid>
        <w:gridCol w:w="9683"/>
      </w:tblGrid>
      <w:tr w:rsidR="0048356F" w:rsidRPr="0048356F" w:rsidTr="007E0F7E">
        <w:trPr>
          <w:tblCellSpacing w:w="15" w:type="dxa"/>
        </w:trPr>
        <w:tc>
          <w:tcPr>
            <w:tcW w:w="4969" w:type="pct"/>
            <w:vAlign w:val="center"/>
            <w:hideMark/>
          </w:tcPr>
          <w:p w:rsidR="0048356F" w:rsidRPr="0048356F" w:rsidRDefault="0048356F" w:rsidP="007E0F7E">
            <w:pPr>
              <w:widowControl/>
              <w:spacing w:line="360" w:lineRule="exact"/>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儲蓄互助社以全體社員組成之社員大會為最高權力機構。</w:t>
            </w:r>
          </w:p>
        </w:tc>
      </w:tr>
      <w:tr w:rsidR="0048356F" w:rsidRPr="0048356F" w:rsidTr="007E0F7E">
        <w:trPr>
          <w:tblCellSpacing w:w="15" w:type="dxa"/>
        </w:trPr>
        <w:tc>
          <w:tcPr>
            <w:tcW w:w="4969" w:type="pct"/>
            <w:vAlign w:val="center"/>
            <w:hideMark/>
          </w:tcPr>
          <w:p w:rsidR="0048356F" w:rsidRPr="0048356F" w:rsidRDefault="0048356F" w:rsidP="007E0F7E">
            <w:pPr>
              <w:widowControl/>
              <w:spacing w:line="360" w:lineRule="exact"/>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社員大會應有全體社員五分之一之出席，或成年社員一定人數以上之出席，始得開會。</w:t>
            </w:r>
          </w:p>
        </w:tc>
      </w:tr>
      <w:tr w:rsidR="0048356F" w:rsidRPr="0048356F" w:rsidTr="007E0F7E">
        <w:trPr>
          <w:tblCellSpacing w:w="15" w:type="dxa"/>
        </w:trPr>
        <w:tc>
          <w:tcPr>
            <w:tcW w:w="4969" w:type="pct"/>
            <w:vAlign w:val="center"/>
            <w:hideMark/>
          </w:tcPr>
          <w:p w:rsidR="0048356F" w:rsidRPr="0048356F" w:rsidRDefault="0048356F" w:rsidP="007E0F7E">
            <w:pPr>
              <w:widowControl/>
              <w:spacing w:line="360" w:lineRule="exact"/>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社員大會每一社員有一票之表決權，不得委託他人行使權利。</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第十七條（社員大會之種類） </w:t>
      </w:r>
    </w:p>
    <w:tbl>
      <w:tblPr>
        <w:tblW w:w="4977" w:type="pct"/>
        <w:tblCellSpacing w:w="15" w:type="dxa"/>
        <w:tblCellMar>
          <w:top w:w="15" w:type="dxa"/>
          <w:left w:w="15" w:type="dxa"/>
          <w:bottom w:w="15" w:type="dxa"/>
          <w:right w:w="15" w:type="dxa"/>
        </w:tblCellMar>
        <w:tblLook w:val="04A0"/>
      </w:tblPr>
      <w:tblGrid>
        <w:gridCol w:w="9683"/>
      </w:tblGrid>
      <w:tr w:rsidR="0048356F" w:rsidRPr="0048356F" w:rsidTr="00FC67C7">
        <w:trPr>
          <w:tblCellSpacing w:w="15" w:type="dxa"/>
        </w:trPr>
        <w:tc>
          <w:tcPr>
            <w:tcW w:w="4969" w:type="pct"/>
            <w:vAlign w:val="center"/>
            <w:hideMark/>
          </w:tcPr>
          <w:p w:rsidR="0048356F" w:rsidRPr="0048356F" w:rsidRDefault="0048356F" w:rsidP="00FC67C7">
            <w:pPr>
              <w:widowControl/>
              <w:ind w:left="425" w:hangingChars="177" w:hanging="425"/>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社員大會分常年大會及臨時大會。常年大會應於每一會計年度終了兩個月內召開，並於七日前，以書面通知社員；臨時大會依章程規定召開。</w:t>
            </w:r>
          </w:p>
        </w:tc>
      </w:tr>
    </w:tbl>
    <w:p w:rsidR="0048356F" w:rsidRPr="0048356F" w:rsidRDefault="0048356F" w:rsidP="0048356F">
      <w:pPr>
        <w:widowControl/>
        <w:rPr>
          <w:rFonts w:ascii="新細明體" w:eastAsia="新細明體" w:hAnsi="新細明體" w:cs="新細明體"/>
          <w:color w:val="800000"/>
          <w:kern w:val="0"/>
          <w:szCs w:val="24"/>
        </w:rPr>
      </w:pPr>
      <w:bookmarkStart w:id="9" w:name="a18"/>
      <w:bookmarkEnd w:id="9"/>
      <w:r w:rsidRPr="0048356F">
        <w:rPr>
          <w:rFonts w:ascii="新細明體" w:eastAsia="新細明體" w:hAnsi="新細明體" w:cs="新細明體"/>
          <w:color w:val="800000"/>
          <w:kern w:val="0"/>
          <w:szCs w:val="24"/>
        </w:rPr>
        <w:t xml:space="preserve">第十八條（理事會人數及任期）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儲蓄互助社設理事會，執行社員大會之決議，對儲蓄</w:t>
            </w:r>
            <w:proofErr w:type="gramStart"/>
            <w:r w:rsidRPr="0048356F">
              <w:rPr>
                <w:rFonts w:ascii="新細明體" w:eastAsia="新細明體" w:hAnsi="新細明體" w:cs="新細明體"/>
                <w:kern w:val="0"/>
                <w:szCs w:val="24"/>
              </w:rPr>
              <w:t>互助社負連帶責任</w:t>
            </w:r>
            <w:proofErr w:type="gramEnd"/>
            <w:r w:rsidRPr="0048356F">
              <w:rPr>
                <w:rFonts w:ascii="新細明體" w:eastAsia="新細明體" w:hAnsi="新細明體" w:cs="新細明體"/>
                <w:kern w:val="0"/>
                <w:szCs w:val="24"/>
              </w:rPr>
              <w:t>。</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理事七至二十一人，由社員大會選任之，任期三年，連選得連任。</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理事會設理事長一人，由理事互選之，連選得連任一次。</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第十九條（監事會人數及任期）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儲蓄互助社設監事會，對儲蓄</w:t>
            </w:r>
            <w:proofErr w:type="gramStart"/>
            <w:r w:rsidRPr="0048356F">
              <w:rPr>
                <w:rFonts w:ascii="新細明體" w:eastAsia="新細明體" w:hAnsi="新細明體" w:cs="新細明體"/>
                <w:kern w:val="0"/>
                <w:szCs w:val="24"/>
              </w:rPr>
              <w:t>互助社負連帶責任</w:t>
            </w:r>
            <w:proofErr w:type="gramEnd"/>
            <w:r w:rsidRPr="0048356F">
              <w:rPr>
                <w:rFonts w:ascii="新細明體" w:eastAsia="新細明體" w:hAnsi="新細明體" w:cs="新細明體"/>
                <w:kern w:val="0"/>
                <w:szCs w:val="24"/>
              </w:rPr>
              <w:t>。</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監事五至十五人，由社員大會選任之，任期三年，連選得連任。</w:t>
            </w:r>
          </w:p>
        </w:tc>
      </w:tr>
    </w:tbl>
    <w:p w:rsidR="0048356F" w:rsidRPr="0048356F" w:rsidRDefault="0048356F" w:rsidP="0048356F">
      <w:pPr>
        <w:widowControl/>
        <w:rPr>
          <w:rFonts w:ascii="新細明體" w:eastAsia="新細明體" w:hAnsi="新細明體" w:cs="新細明體"/>
          <w:color w:val="800000"/>
          <w:kern w:val="0"/>
          <w:szCs w:val="24"/>
        </w:rPr>
      </w:pPr>
      <w:bookmarkStart w:id="10" w:name="a20"/>
      <w:bookmarkEnd w:id="10"/>
      <w:r w:rsidRPr="0048356F">
        <w:rPr>
          <w:rFonts w:ascii="新細明體" w:eastAsia="新細明體" w:hAnsi="新細明體" w:cs="新細明體"/>
          <w:color w:val="800000"/>
          <w:kern w:val="0"/>
          <w:szCs w:val="24"/>
        </w:rPr>
        <w:t>第二十條（理、監事不得支領酬勞金）【相關罰則】</w:t>
      </w:r>
      <w:hyperlink r:id="rId19" w:anchor="a33" w:history="1">
        <w:r w:rsidRPr="0048356F">
          <w:rPr>
            <w:rFonts w:ascii="新細明體" w:eastAsia="新細明體" w:hAnsi="新細明體" w:cs="新細明體"/>
            <w:color w:val="0000FF"/>
            <w:kern w:val="0"/>
            <w:szCs w:val="24"/>
            <w:u w:val="single"/>
          </w:rPr>
          <w:t>§33</w:t>
        </w:r>
      </w:hyperlink>
      <w:r w:rsidRPr="0048356F">
        <w:rPr>
          <w:rFonts w:ascii="新細明體" w:eastAsia="新細明體" w:hAnsi="新細明體" w:cs="新細明體"/>
          <w:color w:val="800000"/>
          <w:kern w:val="0"/>
          <w:szCs w:val="24"/>
        </w:rPr>
        <w:t xml:space="preserve">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理事、</w:t>
            </w:r>
            <w:proofErr w:type="gramStart"/>
            <w:r w:rsidRPr="0048356F">
              <w:rPr>
                <w:rFonts w:ascii="新細明體" w:eastAsia="新細明體" w:hAnsi="新細明體" w:cs="新細明體"/>
                <w:kern w:val="0"/>
                <w:szCs w:val="24"/>
              </w:rPr>
              <w:t>監事均為無</w:t>
            </w:r>
            <w:proofErr w:type="gramEnd"/>
            <w:r w:rsidRPr="0048356F">
              <w:rPr>
                <w:rFonts w:ascii="新細明體" w:eastAsia="新細明體" w:hAnsi="新細明體" w:cs="新細明體"/>
                <w:kern w:val="0"/>
                <w:szCs w:val="24"/>
              </w:rPr>
              <w:t>給職，且不得支領酬勞金。</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第二十一條（連帶有限責任） </w:t>
      </w:r>
    </w:p>
    <w:tbl>
      <w:tblPr>
        <w:tblW w:w="4977" w:type="pct"/>
        <w:tblCellSpacing w:w="15" w:type="dxa"/>
        <w:tblCellMar>
          <w:top w:w="15" w:type="dxa"/>
          <w:left w:w="15" w:type="dxa"/>
          <w:bottom w:w="15" w:type="dxa"/>
          <w:right w:w="15" w:type="dxa"/>
        </w:tblCellMar>
        <w:tblLook w:val="04A0"/>
      </w:tblPr>
      <w:tblGrid>
        <w:gridCol w:w="9683"/>
      </w:tblGrid>
      <w:tr w:rsidR="0048356F" w:rsidRPr="0048356F" w:rsidTr="00FC67C7">
        <w:trPr>
          <w:tblCellSpacing w:w="15" w:type="dxa"/>
        </w:trPr>
        <w:tc>
          <w:tcPr>
            <w:tcW w:w="4969" w:type="pct"/>
            <w:vAlign w:val="center"/>
            <w:hideMark/>
          </w:tcPr>
          <w:p w:rsidR="0048356F" w:rsidRPr="0048356F" w:rsidRDefault="0048356F" w:rsidP="00FC67C7">
            <w:pPr>
              <w:widowControl/>
              <w:ind w:left="566" w:hangingChars="236" w:hanging="566"/>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儲蓄互助社運用資金，辦理放款，或解散清算時有任何損失，由全體理監事負連帶有限責任。協會執行任務而有損失時，亦同。</w:t>
            </w:r>
          </w:p>
        </w:tc>
      </w:tr>
    </w:tbl>
    <w:p w:rsidR="0048356F" w:rsidRPr="0048356F" w:rsidRDefault="0048356F" w:rsidP="0048356F">
      <w:pPr>
        <w:widowControl/>
        <w:rPr>
          <w:rFonts w:ascii="新細明體" w:eastAsia="新細明體" w:hAnsi="新細明體" w:cs="新細明體"/>
          <w:color w:val="800000"/>
          <w:kern w:val="0"/>
          <w:szCs w:val="24"/>
        </w:rPr>
      </w:pPr>
      <w:bookmarkStart w:id="11" w:name="a22"/>
      <w:r w:rsidRPr="0048356F">
        <w:rPr>
          <w:rFonts w:ascii="新細明體" w:eastAsia="新細明體" w:hAnsi="新細明體" w:cs="新細明體"/>
          <w:color w:val="800000"/>
          <w:kern w:val="0"/>
          <w:szCs w:val="24"/>
        </w:rPr>
        <w:t>第</w:t>
      </w:r>
      <w:bookmarkEnd w:id="11"/>
      <w:r w:rsidRPr="0048356F">
        <w:rPr>
          <w:rFonts w:ascii="新細明體" w:eastAsia="新細明體" w:hAnsi="新細明體" w:cs="新細明體"/>
          <w:color w:val="800000"/>
          <w:kern w:val="0"/>
          <w:szCs w:val="24"/>
        </w:rPr>
        <w:t xml:space="preserve">二十二條（決議受損害之賠償責任） </w:t>
      </w:r>
    </w:p>
    <w:tbl>
      <w:tblPr>
        <w:tblW w:w="4977" w:type="pct"/>
        <w:tblCellSpacing w:w="15" w:type="dxa"/>
        <w:tblCellMar>
          <w:top w:w="15" w:type="dxa"/>
          <w:left w:w="15" w:type="dxa"/>
          <w:bottom w:w="15" w:type="dxa"/>
          <w:right w:w="15" w:type="dxa"/>
        </w:tblCellMar>
        <w:tblLook w:val="04A0"/>
      </w:tblPr>
      <w:tblGrid>
        <w:gridCol w:w="8757"/>
        <w:gridCol w:w="926"/>
      </w:tblGrid>
      <w:tr w:rsidR="0048356F" w:rsidRPr="0048356F" w:rsidTr="00FC67C7">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理事應依照法令、章程及社員大會之決議執行職務。</w:t>
            </w:r>
          </w:p>
        </w:tc>
      </w:tr>
      <w:tr w:rsidR="0048356F" w:rsidRPr="0048356F" w:rsidTr="00FC67C7">
        <w:trPr>
          <w:tblCellSpacing w:w="15" w:type="dxa"/>
        </w:trPr>
        <w:tc>
          <w:tcPr>
            <w:tcW w:w="4969" w:type="pct"/>
            <w:gridSpan w:val="2"/>
            <w:vAlign w:val="center"/>
            <w:hideMark/>
          </w:tcPr>
          <w:p w:rsidR="0048356F" w:rsidRPr="0048356F" w:rsidRDefault="0048356F" w:rsidP="00FC67C7">
            <w:pPr>
              <w:widowControl/>
              <w:ind w:left="425" w:hangingChars="177" w:hanging="425"/>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理、監事會之決議違反前項規定，致儲蓄互助社受損害時，理、監事對儲蓄互助社應負賠償責任。但經表示異議並有會議紀錄可證者，不在此限。</w:t>
            </w:r>
          </w:p>
        </w:tc>
      </w:tr>
      <w:tr w:rsidR="0048356F" w:rsidRPr="0048356F" w:rsidTr="00FC67C7">
        <w:trPr>
          <w:gridAfter w:val="1"/>
          <w:wAfter w:w="456"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監事因怠忽監察職務，致儲蓄互助社受損害時，對儲蓄互助社應負賠償責任。</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第二十三條（儲蓄互助社之解散事由） </w:t>
      </w:r>
    </w:p>
    <w:tbl>
      <w:tblPr>
        <w:tblpPr w:leftFromText="180" w:rightFromText="180" w:tblpY="3345"/>
        <w:tblW w:w="4977" w:type="pct"/>
        <w:tblCellSpacing w:w="15" w:type="dxa"/>
        <w:tblCellMar>
          <w:top w:w="15" w:type="dxa"/>
          <w:left w:w="15" w:type="dxa"/>
          <w:bottom w:w="15" w:type="dxa"/>
          <w:right w:w="15" w:type="dxa"/>
        </w:tblCellMar>
        <w:tblLook w:val="04A0"/>
      </w:tblPr>
      <w:tblGrid>
        <w:gridCol w:w="9683"/>
      </w:tblGrid>
      <w:tr w:rsidR="0048356F" w:rsidRPr="0048356F" w:rsidTr="00B92CF5">
        <w:trPr>
          <w:tblCellSpacing w:w="15" w:type="dxa"/>
        </w:trPr>
        <w:tc>
          <w:tcPr>
            <w:tcW w:w="4969" w:type="pct"/>
            <w:vAlign w:val="center"/>
            <w:hideMark/>
          </w:tcPr>
          <w:p w:rsidR="0048356F" w:rsidRPr="0048356F" w:rsidRDefault="0048356F" w:rsidP="00FC67C7">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w:t>
            </w:r>
            <w:proofErr w:type="gramStart"/>
            <w:r w:rsidRPr="0048356F">
              <w:rPr>
                <w:rFonts w:ascii="新細明體" w:eastAsia="新細明體" w:hAnsi="新細明體" w:cs="新細明體"/>
                <w:kern w:val="0"/>
                <w:szCs w:val="24"/>
              </w:rPr>
              <w:t>互助社因下列</w:t>
            </w:r>
            <w:proofErr w:type="gramEnd"/>
            <w:r w:rsidRPr="0048356F">
              <w:rPr>
                <w:rFonts w:ascii="新細明體" w:eastAsia="新細明體" w:hAnsi="新細明體" w:cs="新細明體"/>
                <w:kern w:val="0"/>
                <w:szCs w:val="24"/>
              </w:rPr>
              <w:t>各款情事之</w:t>
            </w:r>
            <w:proofErr w:type="gramStart"/>
            <w:r w:rsidRPr="0048356F">
              <w:rPr>
                <w:rFonts w:ascii="新細明體" w:eastAsia="新細明體" w:hAnsi="新細明體" w:cs="新細明體"/>
                <w:kern w:val="0"/>
                <w:szCs w:val="24"/>
              </w:rPr>
              <w:t>一</w:t>
            </w:r>
            <w:proofErr w:type="gramEnd"/>
            <w:r w:rsidRPr="0048356F">
              <w:rPr>
                <w:rFonts w:ascii="新細明體" w:eastAsia="新細明體" w:hAnsi="新細明體" w:cs="新細明體"/>
                <w:kern w:val="0"/>
                <w:szCs w:val="24"/>
              </w:rPr>
              <w:t>而解放，應由協會呈報主管機關核准：</w:t>
            </w:r>
          </w:p>
        </w:tc>
      </w:tr>
      <w:tr w:rsidR="0048356F" w:rsidRPr="0048356F" w:rsidTr="00B92CF5">
        <w:trPr>
          <w:tblCellSpacing w:w="15" w:type="dxa"/>
        </w:trPr>
        <w:tc>
          <w:tcPr>
            <w:tcW w:w="4969" w:type="pct"/>
            <w:vAlign w:val="center"/>
            <w:hideMark/>
          </w:tcPr>
          <w:p w:rsidR="0048356F" w:rsidRPr="0048356F" w:rsidRDefault="0048356F" w:rsidP="00FC67C7">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lastRenderedPageBreak/>
              <w:t xml:space="preserve">　　一、社員大會之解散決議。</w:t>
            </w:r>
          </w:p>
        </w:tc>
      </w:tr>
      <w:tr w:rsidR="0048356F" w:rsidRPr="0048356F" w:rsidTr="00B92CF5">
        <w:trPr>
          <w:tblCellSpacing w:w="15" w:type="dxa"/>
        </w:trPr>
        <w:tc>
          <w:tcPr>
            <w:tcW w:w="4969" w:type="pct"/>
            <w:vAlign w:val="center"/>
            <w:hideMark/>
          </w:tcPr>
          <w:p w:rsidR="0048356F" w:rsidRPr="0048356F" w:rsidRDefault="0048356F" w:rsidP="00FC67C7">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二、社員不滿五十人。</w:t>
            </w:r>
          </w:p>
        </w:tc>
      </w:tr>
      <w:tr w:rsidR="0048356F" w:rsidRPr="0048356F" w:rsidTr="00B92CF5">
        <w:trPr>
          <w:tblCellSpacing w:w="15" w:type="dxa"/>
        </w:trPr>
        <w:tc>
          <w:tcPr>
            <w:tcW w:w="4969" w:type="pct"/>
            <w:vAlign w:val="center"/>
            <w:hideMark/>
          </w:tcPr>
          <w:p w:rsidR="0048356F" w:rsidRPr="0048356F" w:rsidRDefault="0048356F" w:rsidP="00FC67C7">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三、經破產宣告。</w:t>
            </w:r>
          </w:p>
        </w:tc>
      </w:tr>
      <w:tr w:rsidR="0048356F" w:rsidRPr="0048356F" w:rsidTr="00B92CF5">
        <w:trPr>
          <w:tblCellSpacing w:w="15" w:type="dxa"/>
        </w:trPr>
        <w:tc>
          <w:tcPr>
            <w:tcW w:w="4969" w:type="pct"/>
            <w:vAlign w:val="center"/>
            <w:hideMark/>
          </w:tcPr>
          <w:p w:rsidR="0048356F" w:rsidRDefault="0048356F" w:rsidP="00FC67C7">
            <w:pPr>
              <w:widowControl/>
              <w:rPr>
                <w:rFonts w:ascii="新細明體" w:eastAsia="新細明體" w:hAnsi="新細明體" w:cs="新細明體" w:hint="eastAsia"/>
                <w:kern w:val="0"/>
                <w:szCs w:val="24"/>
              </w:rPr>
            </w:pPr>
            <w:r w:rsidRPr="0048356F">
              <w:rPr>
                <w:rFonts w:ascii="新細明體" w:eastAsia="新細明體" w:hAnsi="新細明體" w:cs="新細明體"/>
                <w:kern w:val="0"/>
                <w:szCs w:val="24"/>
              </w:rPr>
              <w:t xml:space="preserve">　　四、經協會命令解散。</w:t>
            </w:r>
          </w:p>
          <w:p w:rsidR="00B92CF5" w:rsidRPr="0048356F" w:rsidRDefault="00B92CF5" w:rsidP="00B92CF5">
            <w:pPr>
              <w:widowControl/>
              <w:ind w:firstLineChars="177" w:firstLine="425"/>
              <w:rPr>
                <w:rFonts w:ascii="新細明體" w:eastAsia="新細明體" w:hAnsi="新細明體" w:cs="新細明體"/>
                <w:kern w:val="0"/>
                <w:szCs w:val="24"/>
              </w:rPr>
            </w:pPr>
            <w:r w:rsidRPr="0048356F">
              <w:rPr>
                <w:rFonts w:ascii="新細明體" w:eastAsia="新細明體" w:hAnsi="新細明體" w:cs="新細明體"/>
                <w:kern w:val="0"/>
                <w:szCs w:val="24"/>
              </w:rPr>
              <w:t>前項第一款之決議，應有全體社員四分之三以上之出席，出席社員三分之二以上之同意。</w:t>
            </w:r>
          </w:p>
        </w:tc>
      </w:tr>
    </w:tbl>
    <w:tbl>
      <w:tblPr>
        <w:tblW w:w="4977" w:type="pct"/>
        <w:tblCellSpacing w:w="15" w:type="dxa"/>
        <w:tblCellMar>
          <w:top w:w="15" w:type="dxa"/>
          <w:left w:w="15" w:type="dxa"/>
          <w:bottom w:w="15" w:type="dxa"/>
          <w:right w:w="15" w:type="dxa"/>
        </w:tblCellMar>
        <w:tblLook w:val="04A0"/>
      </w:tblPr>
      <w:tblGrid>
        <w:gridCol w:w="9683"/>
      </w:tblGrid>
      <w:tr w:rsidR="0048356F" w:rsidRPr="0048356F" w:rsidTr="00B92CF5">
        <w:trPr>
          <w:tblCellSpacing w:w="15" w:type="dxa"/>
        </w:trPr>
        <w:tc>
          <w:tcPr>
            <w:tcW w:w="4969" w:type="pct"/>
            <w:vAlign w:val="center"/>
            <w:hideMark/>
          </w:tcPr>
          <w:p w:rsidR="00B92CF5" w:rsidRDefault="00B92CF5" w:rsidP="00FC67C7">
            <w:pPr>
              <w:widowControl/>
              <w:ind w:left="566" w:hangingChars="236" w:hanging="566"/>
              <w:rPr>
                <w:rFonts w:ascii="新細明體" w:eastAsia="新細明體" w:hAnsi="新細明體" w:cs="新細明體" w:hint="eastAsia"/>
                <w:kern w:val="0"/>
                <w:szCs w:val="24"/>
              </w:rPr>
            </w:pPr>
            <w:r w:rsidRPr="0048356F">
              <w:rPr>
                <w:rFonts w:ascii="新細明體" w:eastAsia="新細明體" w:hAnsi="新細明體" w:cs="新細明體"/>
                <w:color w:val="800000"/>
                <w:kern w:val="0"/>
                <w:szCs w:val="24"/>
              </w:rPr>
              <w:t>第二十四條（清算之監督及清算人之選任）</w:t>
            </w:r>
          </w:p>
          <w:p w:rsidR="0048356F" w:rsidRPr="0048356F" w:rsidRDefault="0048356F" w:rsidP="00FC67C7">
            <w:pPr>
              <w:widowControl/>
              <w:ind w:left="566" w:hangingChars="236" w:hanging="566"/>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w:t>
            </w:r>
            <w:proofErr w:type="gramStart"/>
            <w:r w:rsidRPr="0048356F">
              <w:rPr>
                <w:rFonts w:ascii="新細明體" w:eastAsia="新細明體" w:hAnsi="新細明體" w:cs="新細明體"/>
                <w:kern w:val="0"/>
                <w:szCs w:val="24"/>
              </w:rPr>
              <w:t>互助社因解散</w:t>
            </w:r>
            <w:proofErr w:type="gramEnd"/>
            <w:r w:rsidRPr="0048356F">
              <w:rPr>
                <w:rFonts w:ascii="新細明體" w:eastAsia="新細明體" w:hAnsi="新細明體" w:cs="新細明體"/>
                <w:kern w:val="0"/>
                <w:szCs w:val="24"/>
              </w:rPr>
              <w:t>清算時，應受協會監督，其清算人由社員大會選任之。如社員大會</w:t>
            </w:r>
            <w:proofErr w:type="gramStart"/>
            <w:r w:rsidRPr="0048356F">
              <w:rPr>
                <w:rFonts w:ascii="新細明體" w:eastAsia="新細明體" w:hAnsi="新細明體" w:cs="新細明體"/>
                <w:kern w:val="0"/>
                <w:szCs w:val="24"/>
              </w:rPr>
              <w:t>不</w:t>
            </w:r>
            <w:proofErr w:type="gramEnd"/>
            <w:r w:rsidRPr="0048356F">
              <w:rPr>
                <w:rFonts w:ascii="新細明體" w:eastAsia="新細明體" w:hAnsi="新細明體" w:cs="新細明體"/>
                <w:kern w:val="0"/>
                <w:szCs w:val="24"/>
              </w:rPr>
              <w:t>選任時，由理事充任之。</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第二十五條（清算虧損之處理程序） </w:t>
      </w:r>
    </w:p>
    <w:tbl>
      <w:tblPr>
        <w:tblW w:w="4977" w:type="pct"/>
        <w:tblCellSpacing w:w="15" w:type="dxa"/>
        <w:tblCellMar>
          <w:top w:w="15" w:type="dxa"/>
          <w:left w:w="15" w:type="dxa"/>
          <w:bottom w:w="15" w:type="dxa"/>
          <w:right w:w="15" w:type="dxa"/>
        </w:tblCellMar>
        <w:tblLook w:val="04A0"/>
      </w:tblPr>
      <w:tblGrid>
        <w:gridCol w:w="9683"/>
      </w:tblGrid>
      <w:tr w:rsidR="0048356F" w:rsidRPr="0048356F" w:rsidTr="00B92CF5">
        <w:trPr>
          <w:tblCellSpacing w:w="15" w:type="dxa"/>
        </w:trPr>
        <w:tc>
          <w:tcPr>
            <w:tcW w:w="4969" w:type="pct"/>
            <w:vAlign w:val="center"/>
            <w:hideMark/>
          </w:tcPr>
          <w:p w:rsidR="0048356F" w:rsidRPr="0048356F" w:rsidRDefault="0048356F" w:rsidP="00FC67C7">
            <w:pPr>
              <w:widowControl/>
              <w:ind w:left="425" w:hangingChars="177" w:hanging="425"/>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儲蓄互助社年度決算或清算後有虧損時，以各項準備金、公積金、股金順序抵補之；清算有賸餘時，依社員股金分配之。</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第二十六條（清算事務終結之呈報） </w:t>
      </w:r>
    </w:p>
    <w:tbl>
      <w:tblPr>
        <w:tblW w:w="4977" w:type="pct"/>
        <w:tblCellSpacing w:w="15" w:type="dxa"/>
        <w:tblCellMar>
          <w:top w:w="15" w:type="dxa"/>
          <w:left w:w="15" w:type="dxa"/>
          <w:bottom w:w="15" w:type="dxa"/>
          <w:right w:w="15" w:type="dxa"/>
        </w:tblCellMar>
        <w:tblLook w:val="04A0"/>
      </w:tblPr>
      <w:tblGrid>
        <w:gridCol w:w="9683"/>
      </w:tblGrid>
      <w:tr w:rsidR="0048356F" w:rsidRPr="0048356F" w:rsidTr="00B92CF5">
        <w:trPr>
          <w:tblCellSpacing w:w="15" w:type="dxa"/>
        </w:trPr>
        <w:tc>
          <w:tcPr>
            <w:tcW w:w="4969" w:type="pct"/>
            <w:vAlign w:val="center"/>
            <w:hideMark/>
          </w:tcPr>
          <w:p w:rsidR="0048356F" w:rsidRPr="0048356F" w:rsidRDefault="0048356F" w:rsidP="00FC67C7">
            <w:pPr>
              <w:widowControl/>
              <w:ind w:left="566" w:hangingChars="236" w:hanging="566"/>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清算人於清算事務終了後，應於</w:t>
            </w:r>
            <w:r w:rsidRPr="0048356F">
              <w:rPr>
                <w:rFonts w:ascii="新細明體" w:eastAsia="新細明體" w:hAnsi="新細明體" w:cs="新細明體"/>
                <w:spacing w:val="-20"/>
                <w:kern w:val="0"/>
                <w:szCs w:val="24"/>
              </w:rPr>
              <w:t>二十日</w:t>
            </w:r>
            <w:r w:rsidRPr="0048356F">
              <w:rPr>
                <w:rFonts w:ascii="新細明體" w:eastAsia="新細明體" w:hAnsi="新細明體" w:cs="新細明體"/>
                <w:kern w:val="0"/>
                <w:szCs w:val="24"/>
              </w:rPr>
              <w:t>內造具報告書，送協會轉呈主管機關，並分送社</w:t>
            </w:r>
            <w:r w:rsidRPr="0048356F">
              <w:rPr>
                <w:rFonts w:ascii="新細明體" w:eastAsia="新細明體" w:hAnsi="新細明體" w:cs="新細明體"/>
                <w:spacing w:val="-20"/>
                <w:kern w:val="0"/>
                <w:szCs w:val="24"/>
              </w:rPr>
              <w:t>員。</w:t>
            </w:r>
          </w:p>
        </w:tc>
      </w:tr>
    </w:tbl>
    <w:p w:rsidR="0048356F" w:rsidRPr="0048356F" w:rsidRDefault="0048356F" w:rsidP="0048356F">
      <w:pPr>
        <w:widowControl/>
        <w:rPr>
          <w:rFonts w:ascii="新細明體" w:eastAsia="新細明體" w:hAnsi="新細明體" w:cs="新細明體"/>
          <w:color w:val="800000"/>
          <w:kern w:val="0"/>
          <w:szCs w:val="24"/>
        </w:rPr>
      </w:pPr>
      <w:bookmarkStart w:id="12" w:name="a27"/>
      <w:bookmarkEnd w:id="12"/>
      <w:r w:rsidRPr="0048356F">
        <w:rPr>
          <w:rFonts w:ascii="新細明體" w:eastAsia="新細明體" w:hAnsi="新細明體" w:cs="新細明體"/>
          <w:color w:val="800000"/>
          <w:kern w:val="0"/>
          <w:szCs w:val="24"/>
        </w:rPr>
        <w:t>第二十七條（協會之任務）【相關罰則】</w:t>
      </w:r>
      <w:hyperlink r:id="rId20" w:anchor="a34" w:history="1">
        <w:r w:rsidRPr="0048356F">
          <w:rPr>
            <w:rFonts w:ascii="新細明體" w:eastAsia="新細明體" w:hAnsi="新細明體" w:cs="新細明體"/>
            <w:color w:val="0000FF"/>
            <w:kern w:val="0"/>
            <w:szCs w:val="24"/>
            <w:u w:val="single"/>
          </w:rPr>
          <w:t>§34</w:t>
        </w:r>
      </w:hyperlink>
      <w:r w:rsidRPr="0048356F">
        <w:rPr>
          <w:rFonts w:ascii="新細明體" w:eastAsia="新細明體" w:hAnsi="新細明體" w:cs="新細明體"/>
          <w:color w:val="800000"/>
          <w:kern w:val="0"/>
          <w:szCs w:val="24"/>
        </w:rPr>
        <w:t xml:space="preserve">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協會之任務如下：</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一、輔導儲蓄</w:t>
            </w:r>
            <w:proofErr w:type="gramStart"/>
            <w:r w:rsidRPr="0048356F">
              <w:rPr>
                <w:rFonts w:ascii="新細明體" w:eastAsia="新細明體" w:hAnsi="新細明體" w:cs="新細明體"/>
                <w:kern w:val="0"/>
                <w:szCs w:val="24"/>
              </w:rPr>
              <w:t>互助社訂定</w:t>
            </w:r>
            <w:proofErr w:type="gramEnd"/>
            <w:r w:rsidRPr="0048356F">
              <w:rPr>
                <w:rFonts w:ascii="新細明體" w:eastAsia="新細明體" w:hAnsi="新細明體" w:cs="新細明體"/>
                <w:kern w:val="0"/>
                <w:szCs w:val="24"/>
              </w:rPr>
              <w:t>章程。</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二、辦理有關互助之教育訓練。</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三、審核設立儲蓄互助社並保障其權益。</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四、監督、稽核及輔導各儲蓄互助社。</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五、代辦儲蓄互助社各項互助基金。</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六、管理儲蓄</w:t>
            </w:r>
            <w:proofErr w:type="gramStart"/>
            <w:r w:rsidRPr="0048356F">
              <w:rPr>
                <w:rFonts w:ascii="新細明體" w:eastAsia="新細明體" w:hAnsi="新細明體" w:cs="新細明體"/>
                <w:kern w:val="0"/>
                <w:szCs w:val="24"/>
              </w:rPr>
              <w:t>互助社提存</w:t>
            </w:r>
            <w:proofErr w:type="gramEnd"/>
            <w:r w:rsidRPr="0048356F">
              <w:rPr>
                <w:rFonts w:ascii="新細明體" w:eastAsia="新細明體" w:hAnsi="新細明體" w:cs="新細明體"/>
                <w:kern w:val="0"/>
                <w:szCs w:val="24"/>
              </w:rPr>
              <w:t>之公積金。</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七、辦理儲蓄互助社資金融通。</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八、其他經核可之事項。</w:t>
            </w:r>
          </w:p>
        </w:tc>
      </w:tr>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協會執行任務，由內政部、財政部分別予以監督及輔導。</w:t>
            </w:r>
          </w:p>
        </w:tc>
      </w:tr>
    </w:tbl>
    <w:p w:rsidR="0048356F" w:rsidRPr="0048356F" w:rsidRDefault="0048356F" w:rsidP="0048356F">
      <w:pPr>
        <w:widowControl/>
        <w:rPr>
          <w:rFonts w:ascii="新細明體" w:eastAsia="新細明體" w:hAnsi="新細明體" w:cs="新細明體"/>
          <w:color w:val="800000"/>
          <w:kern w:val="0"/>
          <w:szCs w:val="24"/>
        </w:rPr>
      </w:pPr>
      <w:bookmarkStart w:id="13" w:name="a28"/>
      <w:bookmarkEnd w:id="13"/>
      <w:r w:rsidRPr="0048356F">
        <w:rPr>
          <w:rFonts w:ascii="新細明體" w:eastAsia="新細明體" w:hAnsi="新細明體" w:cs="新細明體"/>
          <w:color w:val="800000"/>
          <w:kern w:val="0"/>
          <w:szCs w:val="24"/>
        </w:rPr>
        <w:t>第二十八條（協會所屬儲蓄互助社營運資料之呈報）【相關罰則】</w:t>
      </w:r>
      <w:hyperlink r:id="rId21" w:anchor="a34" w:history="1">
        <w:r w:rsidRPr="0048356F">
          <w:rPr>
            <w:rFonts w:ascii="新細明體" w:eastAsia="新細明體" w:hAnsi="新細明體" w:cs="新細明體"/>
            <w:color w:val="0000FF"/>
            <w:kern w:val="0"/>
            <w:szCs w:val="24"/>
            <w:u w:val="single"/>
          </w:rPr>
          <w:t>§34</w:t>
        </w:r>
      </w:hyperlink>
      <w:r w:rsidRPr="0048356F">
        <w:rPr>
          <w:rFonts w:ascii="新細明體" w:eastAsia="新細明體" w:hAnsi="新細明體" w:cs="新細明體"/>
          <w:color w:val="800000"/>
          <w:kern w:val="0"/>
          <w:szCs w:val="24"/>
        </w:rPr>
        <w:t xml:space="preserve"> </w:t>
      </w:r>
    </w:p>
    <w:tbl>
      <w:tblPr>
        <w:tblW w:w="4977" w:type="pct"/>
        <w:tblCellSpacing w:w="15" w:type="dxa"/>
        <w:tblCellMar>
          <w:top w:w="15" w:type="dxa"/>
          <w:left w:w="15" w:type="dxa"/>
          <w:bottom w:w="15" w:type="dxa"/>
          <w:right w:w="15" w:type="dxa"/>
        </w:tblCellMar>
        <w:tblLook w:val="04A0"/>
      </w:tblPr>
      <w:tblGrid>
        <w:gridCol w:w="9683"/>
      </w:tblGrid>
      <w:tr w:rsidR="0048356F" w:rsidRPr="0048356F" w:rsidTr="00B92CF5">
        <w:trPr>
          <w:tblCellSpacing w:w="15" w:type="dxa"/>
        </w:trPr>
        <w:tc>
          <w:tcPr>
            <w:tcW w:w="4969" w:type="pct"/>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協會於每一年度終了後三</w:t>
            </w:r>
            <w:proofErr w:type="gramStart"/>
            <w:r w:rsidRPr="0048356F">
              <w:rPr>
                <w:rFonts w:ascii="新細明體" w:eastAsia="新細明體" w:hAnsi="新細明體" w:cs="新細明體"/>
                <w:kern w:val="0"/>
                <w:szCs w:val="24"/>
              </w:rPr>
              <w:t>個</w:t>
            </w:r>
            <w:proofErr w:type="gramEnd"/>
            <w:r w:rsidRPr="0048356F">
              <w:rPr>
                <w:rFonts w:ascii="新細明體" w:eastAsia="新細明體" w:hAnsi="新細明體" w:cs="新細明體"/>
                <w:kern w:val="0"/>
                <w:szCs w:val="24"/>
              </w:rPr>
              <w:t>月內，應將所屬儲蓄互助社營運之有關資料，呈報主管機關。</w:t>
            </w:r>
          </w:p>
        </w:tc>
      </w:tr>
    </w:tbl>
    <w:p w:rsidR="0048356F" w:rsidRPr="0048356F" w:rsidRDefault="0048356F" w:rsidP="0048356F">
      <w:pPr>
        <w:widowControl/>
        <w:rPr>
          <w:rFonts w:ascii="新細明體" w:eastAsia="新細明體" w:hAnsi="新細明體" w:cs="新細明體"/>
          <w:color w:val="800000"/>
          <w:kern w:val="0"/>
          <w:szCs w:val="24"/>
        </w:rPr>
      </w:pPr>
      <w:bookmarkStart w:id="14" w:name="a29"/>
      <w:bookmarkEnd w:id="14"/>
      <w:r w:rsidRPr="0048356F">
        <w:rPr>
          <w:rFonts w:ascii="新細明體" w:eastAsia="新細明體" w:hAnsi="新細明體" w:cs="新細明體"/>
          <w:color w:val="800000"/>
          <w:kern w:val="0"/>
          <w:szCs w:val="24"/>
        </w:rPr>
        <w:t xml:space="preserve">第二十九條（違法之處分） </w:t>
      </w:r>
    </w:p>
    <w:tbl>
      <w:tblPr>
        <w:tblW w:w="4977" w:type="pct"/>
        <w:tblCellSpacing w:w="15" w:type="dxa"/>
        <w:tblCellMar>
          <w:top w:w="15" w:type="dxa"/>
          <w:left w:w="15" w:type="dxa"/>
          <w:bottom w:w="15" w:type="dxa"/>
          <w:right w:w="15" w:type="dxa"/>
        </w:tblCellMar>
        <w:tblLook w:val="04A0"/>
      </w:tblPr>
      <w:tblGrid>
        <w:gridCol w:w="8757"/>
        <w:gridCol w:w="926"/>
      </w:tblGrid>
      <w:tr w:rsidR="0048356F" w:rsidRPr="0048356F" w:rsidTr="00533E3A">
        <w:trPr>
          <w:tblCellSpacing w:w="15" w:type="dxa"/>
        </w:trPr>
        <w:tc>
          <w:tcPr>
            <w:tcW w:w="4969" w:type="pct"/>
            <w:gridSpan w:val="2"/>
            <w:vAlign w:val="center"/>
            <w:hideMark/>
          </w:tcPr>
          <w:p w:rsidR="0048356F" w:rsidRPr="0048356F" w:rsidRDefault="0048356F" w:rsidP="0077309F">
            <w:pPr>
              <w:widowControl/>
              <w:ind w:left="566" w:hangingChars="236" w:hanging="566"/>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儲蓄互助社違反法令、章程，或無法健全經營而損及社員權益之虞時，主管機關得為下列之處分，協會為處分時並應報主管機關核備：</w:t>
            </w:r>
          </w:p>
        </w:tc>
      </w:tr>
      <w:tr w:rsidR="0048356F" w:rsidRPr="0048356F" w:rsidTr="00533E3A">
        <w:trPr>
          <w:gridAfter w:val="1"/>
          <w:wAfter w:w="45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一、撤銷會議之決議。</w:t>
            </w:r>
          </w:p>
        </w:tc>
      </w:tr>
      <w:tr w:rsidR="0048356F" w:rsidRPr="0048356F" w:rsidTr="00533E3A">
        <w:trPr>
          <w:gridAfter w:val="1"/>
          <w:wAfter w:w="45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二、停止或解除理事、監事職務。</w:t>
            </w:r>
          </w:p>
        </w:tc>
      </w:tr>
      <w:tr w:rsidR="0048356F" w:rsidRPr="0048356F" w:rsidTr="00533E3A">
        <w:trPr>
          <w:gridAfter w:val="1"/>
          <w:wAfter w:w="45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三、命令儲蓄互助社處分失職人員。</w:t>
            </w:r>
          </w:p>
        </w:tc>
      </w:tr>
      <w:tr w:rsidR="0048356F" w:rsidRPr="0048356F" w:rsidTr="00533E3A">
        <w:trPr>
          <w:gridAfter w:val="1"/>
          <w:wAfter w:w="45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四、停止部分業務。</w:t>
            </w:r>
          </w:p>
        </w:tc>
      </w:tr>
      <w:tr w:rsidR="0048356F" w:rsidRPr="0048356F" w:rsidTr="00533E3A">
        <w:trPr>
          <w:gridAfter w:val="1"/>
          <w:wAfter w:w="45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五、命令解散。</w:t>
            </w:r>
          </w:p>
        </w:tc>
      </w:tr>
      <w:tr w:rsidR="0048356F" w:rsidRPr="0048356F" w:rsidTr="00533E3A">
        <w:trPr>
          <w:gridAfter w:val="1"/>
          <w:wAfter w:w="45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六、其他必要之處置。</w:t>
            </w:r>
          </w:p>
        </w:tc>
      </w:tr>
      <w:tr w:rsidR="0048356F" w:rsidRPr="0048356F" w:rsidTr="00533E3A">
        <w:trPr>
          <w:gridAfter w:val="1"/>
          <w:wAfter w:w="456"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lastRenderedPageBreak/>
              <w:t xml:space="preserve">　　前項情形，得對理事、監事處新台幣六萬元以上三十萬元以下之罰鍰。</w:t>
            </w:r>
          </w:p>
        </w:tc>
      </w:tr>
    </w:tbl>
    <w:p w:rsidR="0048356F" w:rsidRPr="0048356F" w:rsidRDefault="0048356F" w:rsidP="0048356F">
      <w:pPr>
        <w:widowControl/>
        <w:rPr>
          <w:rFonts w:ascii="新細明體" w:eastAsia="新細明體" w:hAnsi="新細明體" w:cs="新細明體"/>
          <w:color w:val="800000"/>
          <w:kern w:val="0"/>
          <w:szCs w:val="24"/>
        </w:rPr>
      </w:pPr>
      <w:bookmarkStart w:id="15" w:name="a30"/>
      <w:bookmarkEnd w:id="15"/>
      <w:r w:rsidRPr="0048356F">
        <w:rPr>
          <w:rFonts w:ascii="新細明體" w:eastAsia="新細明體" w:hAnsi="新細明體" w:cs="新細明體"/>
          <w:color w:val="800000"/>
          <w:kern w:val="0"/>
          <w:szCs w:val="24"/>
        </w:rPr>
        <w:t xml:space="preserve">第三十條（已設立之儲蓄互助社之備案及儲蓄互助社更名之程序） </w:t>
      </w:r>
    </w:p>
    <w:tbl>
      <w:tblPr>
        <w:tblW w:w="4977" w:type="pct"/>
        <w:tblCellSpacing w:w="15" w:type="dxa"/>
        <w:tblCellMar>
          <w:top w:w="15" w:type="dxa"/>
          <w:left w:w="15" w:type="dxa"/>
          <w:bottom w:w="15" w:type="dxa"/>
          <w:right w:w="15" w:type="dxa"/>
        </w:tblCellMar>
        <w:tblLook w:val="04A0"/>
      </w:tblPr>
      <w:tblGrid>
        <w:gridCol w:w="9683"/>
      </w:tblGrid>
      <w:tr w:rsidR="0048356F" w:rsidRPr="0048356F" w:rsidTr="00533E3A">
        <w:trPr>
          <w:tblCellSpacing w:w="15" w:type="dxa"/>
        </w:trPr>
        <w:tc>
          <w:tcPr>
            <w:tcW w:w="4969" w:type="pct"/>
            <w:vAlign w:val="center"/>
            <w:hideMark/>
          </w:tcPr>
          <w:p w:rsidR="0048356F" w:rsidRPr="0048356F" w:rsidRDefault="0048356F" w:rsidP="00533E3A">
            <w:pPr>
              <w:widowControl/>
              <w:ind w:left="566" w:hangingChars="236" w:hanging="566"/>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本法公布施行前已成立之儲蓄互助社</w:t>
            </w:r>
            <w:r w:rsidRPr="0048356F">
              <w:rPr>
                <w:rFonts w:ascii="新細明體" w:eastAsia="新細明體" w:hAnsi="新細明體" w:cs="新細明體"/>
                <w:spacing w:val="-20"/>
                <w:kern w:val="0"/>
                <w:szCs w:val="24"/>
              </w:rPr>
              <w:t>，應</w:t>
            </w:r>
            <w:r w:rsidRPr="0048356F">
              <w:rPr>
                <w:rFonts w:ascii="新細明體" w:eastAsia="新細明體" w:hAnsi="新細明體" w:cs="新細明體"/>
                <w:kern w:val="0"/>
                <w:szCs w:val="24"/>
              </w:rPr>
              <w:t>自本法修正施行後一年內向主管機關備案登記。</w:t>
            </w:r>
          </w:p>
        </w:tc>
      </w:tr>
      <w:tr w:rsidR="0048356F" w:rsidRPr="0048356F" w:rsidTr="00533E3A">
        <w:trPr>
          <w:tblCellSpacing w:w="15" w:type="dxa"/>
        </w:trPr>
        <w:tc>
          <w:tcPr>
            <w:tcW w:w="4969" w:type="pct"/>
            <w:vAlign w:val="center"/>
            <w:hideMark/>
          </w:tcPr>
          <w:p w:rsidR="0048356F" w:rsidRPr="0048356F" w:rsidRDefault="0048356F" w:rsidP="00533E3A">
            <w:pPr>
              <w:widowControl/>
              <w:ind w:left="566" w:hangingChars="236" w:hanging="566"/>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本法修正施行前，既有儲蓄互助社登記有案，其以自有資金取得而以自然人或協會名義登記之土地及建築改良物，得更名為該儲蓄互助社所有。</w:t>
            </w:r>
          </w:p>
        </w:tc>
      </w:tr>
      <w:tr w:rsidR="0048356F" w:rsidRPr="0048356F" w:rsidTr="00533E3A">
        <w:trPr>
          <w:tblCellSpacing w:w="15" w:type="dxa"/>
        </w:trPr>
        <w:tc>
          <w:tcPr>
            <w:tcW w:w="4969" w:type="pct"/>
            <w:vAlign w:val="center"/>
            <w:hideMark/>
          </w:tcPr>
          <w:p w:rsidR="0048356F" w:rsidRPr="0048356F" w:rsidRDefault="0048356F" w:rsidP="00533E3A">
            <w:pPr>
              <w:widowControl/>
              <w:ind w:leftChars="236" w:left="566"/>
              <w:rPr>
                <w:rFonts w:ascii="新細明體" w:eastAsia="新細明體" w:hAnsi="新細明體" w:cs="新細明體"/>
                <w:kern w:val="0"/>
                <w:szCs w:val="24"/>
              </w:rPr>
            </w:pPr>
            <w:r w:rsidRPr="0048356F">
              <w:rPr>
                <w:rFonts w:ascii="新細明體" w:eastAsia="新細明體" w:hAnsi="新細明體" w:cs="新細明體"/>
                <w:kern w:val="0"/>
                <w:szCs w:val="24"/>
              </w:rPr>
              <w:t>儲蓄互助社辦理前項更名所需證明文件，向直轄市、縣（市）主管機關申請之，有關更名作業辦法，由中央主管機關定之。</w:t>
            </w:r>
          </w:p>
        </w:tc>
      </w:tr>
    </w:tbl>
    <w:p w:rsidR="0048356F" w:rsidRPr="0048356F" w:rsidRDefault="0048356F" w:rsidP="0048356F">
      <w:pPr>
        <w:widowControl/>
        <w:rPr>
          <w:rFonts w:ascii="新細明體" w:eastAsia="新細明體" w:hAnsi="新細明體" w:cs="新細明體"/>
          <w:color w:val="800000"/>
          <w:kern w:val="0"/>
          <w:szCs w:val="24"/>
        </w:rPr>
      </w:pPr>
      <w:bookmarkStart w:id="16" w:name="a31"/>
      <w:bookmarkEnd w:id="16"/>
      <w:r w:rsidRPr="0048356F">
        <w:rPr>
          <w:rFonts w:ascii="新細明體" w:eastAsia="新細明體" w:hAnsi="新細明體" w:cs="新細明體"/>
          <w:color w:val="800000"/>
          <w:kern w:val="0"/>
          <w:szCs w:val="24"/>
        </w:rPr>
        <w:t xml:space="preserve">第三十一條（非法使用儲蓄互助社或近似名稱之罰則） </w:t>
      </w:r>
    </w:p>
    <w:tbl>
      <w:tblPr>
        <w:tblW w:w="4977" w:type="pct"/>
        <w:tblCellSpacing w:w="15" w:type="dxa"/>
        <w:tblCellMar>
          <w:top w:w="15" w:type="dxa"/>
          <w:left w:w="15" w:type="dxa"/>
          <w:bottom w:w="15" w:type="dxa"/>
          <w:right w:w="15" w:type="dxa"/>
        </w:tblCellMar>
        <w:tblLook w:val="04A0"/>
      </w:tblPr>
      <w:tblGrid>
        <w:gridCol w:w="8757"/>
        <w:gridCol w:w="926"/>
      </w:tblGrid>
      <w:tr w:rsidR="0048356F" w:rsidRPr="0048356F" w:rsidTr="00533E3A">
        <w:trPr>
          <w:tblCellSpacing w:w="15" w:type="dxa"/>
        </w:trPr>
        <w:tc>
          <w:tcPr>
            <w:tcW w:w="4969" w:type="pct"/>
            <w:gridSpan w:val="2"/>
            <w:vAlign w:val="center"/>
            <w:hideMark/>
          </w:tcPr>
          <w:p w:rsidR="0048356F" w:rsidRPr="0048356F" w:rsidRDefault="0048356F" w:rsidP="00533E3A">
            <w:pPr>
              <w:widowControl/>
              <w:ind w:left="425" w:hangingChars="177" w:hanging="425"/>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違反</w:t>
            </w:r>
            <w:hyperlink r:id="rId22" w:anchor="a6" w:history="1">
              <w:r w:rsidRPr="0048356F">
                <w:rPr>
                  <w:rFonts w:ascii="新細明體" w:eastAsia="新細明體" w:hAnsi="新細明體" w:cs="新細明體"/>
                  <w:color w:val="0000FF"/>
                  <w:kern w:val="0"/>
                  <w:szCs w:val="24"/>
                  <w:u w:val="single"/>
                </w:rPr>
                <w:t>第六條</w:t>
              </w:r>
            </w:hyperlink>
            <w:r w:rsidRPr="0048356F">
              <w:rPr>
                <w:rFonts w:ascii="新細明體" w:eastAsia="新細明體" w:hAnsi="新細明體" w:cs="新細明體"/>
                <w:kern w:val="0"/>
                <w:szCs w:val="24"/>
              </w:rPr>
              <w:t>規定，或未依法設立、成立儲蓄互助社或類似組織而營業者，處二年以下有期徒刑，得</w:t>
            </w:r>
            <w:proofErr w:type="gramStart"/>
            <w:r w:rsidRPr="0048356F">
              <w:rPr>
                <w:rFonts w:ascii="新細明體" w:eastAsia="新細明體" w:hAnsi="新細明體" w:cs="新細明體"/>
                <w:kern w:val="0"/>
                <w:szCs w:val="24"/>
              </w:rPr>
              <w:t>併</w:t>
            </w:r>
            <w:proofErr w:type="gramEnd"/>
            <w:r w:rsidRPr="0048356F">
              <w:rPr>
                <w:rFonts w:ascii="新細明體" w:eastAsia="新細明體" w:hAnsi="新細明體" w:cs="新細明體"/>
                <w:kern w:val="0"/>
                <w:szCs w:val="24"/>
              </w:rPr>
              <w:t>科新臺幣三十萬元以下罰金。</w:t>
            </w:r>
          </w:p>
        </w:tc>
      </w:tr>
      <w:tr w:rsidR="0048356F" w:rsidRPr="0048356F" w:rsidTr="00533E3A">
        <w:trPr>
          <w:gridAfter w:val="1"/>
          <w:wAfter w:w="456"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法人犯前項之罪者，處罰其行為負責人。</w:t>
            </w:r>
          </w:p>
        </w:tc>
      </w:tr>
    </w:tbl>
    <w:p w:rsidR="0048356F" w:rsidRPr="0048356F" w:rsidRDefault="0048356F" w:rsidP="0048356F">
      <w:pPr>
        <w:widowControl/>
        <w:rPr>
          <w:rFonts w:ascii="新細明體" w:eastAsia="新細明體" w:hAnsi="新細明體" w:cs="新細明體"/>
          <w:color w:val="800000"/>
          <w:kern w:val="0"/>
          <w:szCs w:val="24"/>
        </w:rPr>
      </w:pPr>
      <w:r w:rsidRPr="0048356F">
        <w:rPr>
          <w:rFonts w:ascii="新細明體" w:eastAsia="新細明體" w:hAnsi="新細明體" w:cs="新細明體"/>
          <w:color w:val="800000"/>
          <w:kern w:val="0"/>
          <w:szCs w:val="24"/>
        </w:rPr>
        <w:t xml:space="preserve">第三十二條（儲蓄互助社主要負責人及職員之刑事責任） </w:t>
      </w:r>
    </w:p>
    <w:tbl>
      <w:tblPr>
        <w:tblW w:w="5000" w:type="pct"/>
        <w:tblCellSpacing w:w="15" w:type="dxa"/>
        <w:tblCellMar>
          <w:top w:w="15" w:type="dxa"/>
          <w:left w:w="15" w:type="dxa"/>
          <w:bottom w:w="15" w:type="dxa"/>
          <w:right w:w="15" w:type="dxa"/>
        </w:tblCellMar>
        <w:tblLook w:val="04A0"/>
      </w:tblPr>
      <w:tblGrid>
        <w:gridCol w:w="8758"/>
        <w:gridCol w:w="970"/>
      </w:tblGrid>
      <w:tr w:rsidR="0048356F" w:rsidRPr="0048356F" w:rsidTr="00A91CB0">
        <w:trPr>
          <w:tblCellSpacing w:w="15" w:type="dxa"/>
        </w:trPr>
        <w:tc>
          <w:tcPr>
            <w:tcW w:w="4969" w:type="pct"/>
            <w:gridSpan w:val="2"/>
            <w:vAlign w:val="center"/>
            <w:hideMark/>
          </w:tcPr>
          <w:p w:rsidR="0048356F" w:rsidRPr="0048356F" w:rsidRDefault="0048356F" w:rsidP="00A91CB0">
            <w:pPr>
              <w:widowControl/>
              <w:ind w:leftChars="236" w:left="566"/>
              <w:rPr>
                <w:rFonts w:ascii="新細明體" w:eastAsia="新細明體" w:hAnsi="新細明體" w:cs="新細明體"/>
                <w:kern w:val="0"/>
                <w:szCs w:val="24"/>
              </w:rPr>
            </w:pPr>
            <w:r w:rsidRPr="0048356F">
              <w:rPr>
                <w:rFonts w:ascii="新細明體" w:eastAsia="新細明體" w:hAnsi="新細明體" w:cs="新細明體"/>
                <w:kern w:val="0"/>
                <w:szCs w:val="24"/>
              </w:rPr>
              <w:t>儲蓄互助社理事、監事或其他職員有下列情形之</w:t>
            </w:r>
            <w:proofErr w:type="gramStart"/>
            <w:r w:rsidRPr="0048356F">
              <w:rPr>
                <w:rFonts w:ascii="新細明體" w:eastAsia="新細明體" w:hAnsi="新細明體" w:cs="新細明體"/>
                <w:kern w:val="0"/>
                <w:szCs w:val="24"/>
              </w:rPr>
              <w:t>一</w:t>
            </w:r>
            <w:proofErr w:type="gramEnd"/>
            <w:r w:rsidRPr="0048356F">
              <w:rPr>
                <w:rFonts w:ascii="新細明體" w:eastAsia="新細明體" w:hAnsi="新細明體" w:cs="新細明體"/>
                <w:kern w:val="0"/>
                <w:szCs w:val="24"/>
              </w:rPr>
              <w:t>者，處一年以下有期徒刑、拘役或科或</w:t>
            </w:r>
            <w:proofErr w:type="gramStart"/>
            <w:r w:rsidRPr="0048356F">
              <w:rPr>
                <w:rFonts w:ascii="新細明體" w:eastAsia="新細明體" w:hAnsi="新細明體" w:cs="新細明體"/>
                <w:kern w:val="0"/>
                <w:szCs w:val="24"/>
              </w:rPr>
              <w:t>併</w:t>
            </w:r>
            <w:proofErr w:type="gramEnd"/>
            <w:r w:rsidRPr="0048356F">
              <w:rPr>
                <w:rFonts w:ascii="新細明體" w:eastAsia="新細明體" w:hAnsi="新細明體" w:cs="新細明體"/>
                <w:kern w:val="0"/>
                <w:szCs w:val="24"/>
              </w:rPr>
              <w:t>科新臺幣六十萬元以下罰金：</w:t>
            </w:r>
          </w:p>
        </w:tc>
      </w:tr>
      <w:tr w:rsidR="0048356F" w:rsidRPr="0048356F" w:rsidTr="00A91CB0">
        <w:trPr>
          <w:gridAfter w:val="1"/>
          <w:wAfter w:w="47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一、拒絕移交者。</w:t>
            </w:r>
          </w:p>
        </w:tc>
      </w:tr>
      <w:tr w:rsidR="0048356F" w:rsidRPr="0048356F" w:rsidTr="00A91CB0">
        <w:trPr>
          <w:gridAfter w:val="1"/>
          <w:wAfter w:w="475"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二、隱匿或毀損社之財產或</w:t>
            </w:r>
            <w:proofErr w:type="gramStart"/>
            <w:r w:rsidRPr="0048356F">
              <w:rPr>
                <w:rFonts w:ascii="新細明體" w:eastAsia="新細明體" w:hAnsi="新細明體" w:cs="新細明體"/>
                <w:kern w:val="0"/>
                <w:szCs w:val="24"/>
              </w:rPr>
              <w:t>帳冊</w:t>
            </w:r>
            <w:proofErr w:type="gramEnd"/>
            <w:r w:rsidRPr="0048356F">
              <w:rPr>
                <w:rFonts w:ascii="新細明體" w:eastAsia="新細明體" w:hAnsi="新細明體" w:cs="新細明體"/>
                <w:kern w:val="0"/>
                <w:szCs w:val="24"/>
              </w:rPr>
              <w:t>文件者。</w:t>
            </w:r>
          </w:p>
        </w:tc>
      </w:tr>
      <w:tr w:rsidR="0048356F" w:rsidRPr="0048356F" w:rsidTr="00A91CB0">
        <w:trPr>
          <w:gridAfter w:val="1"/>
          <w:wAfter w:w="477" w:type="pct"/>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三、偽造債務或承認不真實之債務者。</w:t>
            </w:r>
          </w:p>
        </w:tc>
      </w:tr>
    </w:tbl>
    <w:p w:rsidR="0048356F" w:rsidRPr="0048356F" w:rsidRDefault="0048356F" w:rsidP="0048356F">
      <w:pPr>
        <w:widowControl/>
        <w:rPr>
          <w:rFonts w:ascii="新細明體" w:eastAsia="新細明體" w:hAnsi="新細明體" w:cs="新細明體"/>
          <w:color w:val="800000"/>
          <w:kern w:val="0"/>
          <w:szCs w:val="24"/>
        </w:rPr>
      </w:pPr>
      <w:bookmarkStart w:id="17" w:name="a33"/>
      <w:bookmarkEnd w:id="17"/>
      <w:r w:rsidRPr="0048356F">
        <w:rPr>
          <w:rFonts w:ascii="新細明體" w:eastAsia="新細明體" w:hAnsi="新細明體" w:cs="新細明體"/>
          <w:color w:val="800000"/>
          <w:kern w:val="0"/>
          <w:szCs w:val="24"/>
        </w:rPr>
        <w:t xml:space="preserve">第三十三條（儲蓄互助社違反本法之罰則） </w:t>
      </w:r>
    </w:p>
    <w:tbl>
      <w:tblPr>
        <w:tblW w:w="5050" w:type="pct"/>
        <w:tblCellSpacing w:w="15" w:type="dxa"/>
        <w:tblCellMar>
          <w:top w:w="15" w:type="dxa"/>
          <w:left w:w="15" w:type="dxa"/>
          <w:bottom w:w="15" w:type="dxa"/>
          <w:right w:w="15" w:type="dxa"/>
        </w:tblCellMar>
        <w:tblLook w:val="04A0"/>
      </w:tblPr>
      <w:tblGrid>
        <w:gridCol w:w="9698"/>
        <w:gridCol w:w="127"/>
      </w:tblGrid>
      <w:tr w:rsidR="0048356F" w:rsidRPr="0048356F" w:rsidTr="00A91CB0">
        <w:trPr>
          <w:gridAfter w:val="1"/>
          <w:wAfter w:w="27" w:type="pct"/>
          <w:tblCellSpacing w:w="15" w:type="dxa"/>
        </w:trPr>
        <w:tc>
          <w:tcPr>
            <w:tcW w:w="4927" w:type="pct"/>
            <w:vAlign w:val="center"/>
            <w:hideMark/>
          </w:tcPr>
          <w:p w:rsidR="0048356F" w:rsidRPr="0048356F" w:rsidRDefault="0048356F" w:rsidP="00A91CB0">
            <w:pPr>
              <w:widowControl/>
              <w:ind w:left="566" w:hangingChars="236" w:hanging="566"/>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儲蓄互助社有下列情形之</w:t>
            </w:r>
            <w:proofErr w:type="gramStart"/>
            <w:r w:rsidRPr="0048356F">
              <w:rPr>
                <w:rFonts w:ascii="新細明體" w:eastAsia="新細明體" w:hAnsi="新細明體" w:cs="新細明體"/>
                <w:kern w:val="0"/>
                <w:szCs w:val="24"/>
              </w:rPr>
              <w:t>一</w:t>
            </w:r>
            <w:proofErr w:type="gramEnd"/>
            <w:r w:rsidRPr="0048356F">
              <w:rPr>
                <w:rFonts w:ascii="新細明體" w:eastAsia="新細明體" w:hAnsi="新細明體" w:cs="新細明體"/>
                <w:kern w:val="0"/>
                <w:szCs w:val="24"/>
              </w:rPr>
              <w:t>者，由協會報請主管機關按情節輕重，處新臺幣六萬元以上三十萬元以下之罰鍰。</w:t>
            </w:r>
          </w:p>
        </w:tc>
      </w:tr>
      <w:tr w:rsidR="0048356F" w:rsidRPr="0048356F" w:rsidTr="00A91CB0">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一、違反</w:t>
            </w:r>
            <w:hyperlink r:id="rId23" w:anchor="a9" w:history="1">
              <w:r w:rsidRPr="0048356F">
                <w:rPr>
                  <w:rFonts w:ascii="新細明體" w:eastAsia="新細明體" w:hAnsi="新細明體" w:cs="新細明體"/>
                  <w:color w:val="0000FF"/>
                  <w:kern w:val="0"/>
                  <w:szCs w:val="24"/>
                  <w:u w:val="single"/>
                </w:rPr>
                <w:t>第九條</w:t>
              </w:r>
            </w:hyperlink>
            <w:r w:rsidRPr="0048356F">
              <w:rPr>
                <w:rFonts w:ascii="新細明體" w:eastAsia="新細明體" w:hAnsi="新細明體" w:cs="新細明體"/>
                <w:kern w:val="0"/>
                <w:szCs w:val="24"/>
              </w:rPr>
              <w:t>規定，經營未經核准之業務項目者。</w:t>
            </w:r>
          </w:p>
        </w:tc>
      </w:tr>
      <w:tr w:rsidR="0048356F" w:rsidRPr="0048356F" w:rsidTr="00A91CB0">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二、違反第</w:t>
            </w:r>
            <w:hyperlink r:id="rId24" w:anchor="a11" w:history="1">
              <w:r w:rsidRPr="0048356F">
                <w:rPr>
                  <w:rFonts w:ascii="新細明體" w:eastAsia="新細明體" w:hAnsi="新細明體" w:cs="新細明體"/>
                  <w:color w:val="0000FF"/>
                  <w:kern w:val="0"/>
                  <w:szCs w:val="24"/>
                  <w:u w:val="single"/>
                </w:rPr>
                <w:t>十一</w:t>
              </w:r>
            </w:hyperlink>
            <w:r w:rsidRPr="0048356F">
              <w:rPr>
                <w:rFonts w:ascii="新細明體" w:eastAsia="新細明體" w:hAnsi="新細明體" w:cs="新細明體"/>
                <w:kern w:val="0"/>
                <w:szCs w:val="24"/>
              </w:rPr>
              <w:t>條規定，放款逾越限制者。</w:t>
            </w:r>
          </w:p>
        </w:tc>
      </w:tr>
      <w:tr w:rsidR="0048356F" w:rsidRPr="0048356F" w:rsidTr="00A91CB0">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三、違反第</w:t>
            </w:r>
            <w:hyperlink r:id="rId25" w:anchor="a12" w:history="1">
              <w:r w:rsidRPr="0048356F">
                <w:rPr>
                  <w:rFonts w:ascii="新細明體" w:eastAsia="新細明體" w:hAnsi="新細明體" w:cs="新細明體"/>
                  <w:color w:val="0000FF"/>
                  <w:kern w:val="0"/>
                  <w:szCs w:val="24"/>
                  <w:u w:val="single"/>
                </w:rPr>
                <w:t>十二</w:t>
              </w:r>
            </w:hyperlink>
            <w:r w:rsidRPr="0048356F">
              <w:rPr>
                <w:rFonts w:ascii="新細明體" w:eastAsia="新細明體" w:hAnsi="新細明體" w:cs="新細明體"/>
                <w:kern w:val="0"/>
                <w:szCs w:val="24"/>
              </w:rPr>
              <w:t>條規定，對非社員營業者。</w:t>
            </w:r>
          </w:p>
        </w:tc>
      </w:tr>
      <w:tr w:rsidR="0048356F" w:rsidRPr="0048356F" w:rsidTr="00A91CB0">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四、違反第</w:t>
            </w:r>
            <w:hyperlink r:id="rId26" w:anchor="a13" w:history="1">
              <w:r w:rsidRPr="0048356F">
                <w:rPr>
                  <w:rFonts w:ascii="新細明體" w:eastAsia="新細明體" w:hAnsi="新細明體" w:cs="新細明體"/>
                  <w:color w:val="0000FF"/>
                  <w:kern w:val="0"/>
                  <w:szCs w:val="24"/>
                  <w:u w:val="single"/>
                </w:rPr>
                <w:t>十三</w:t>
              </w:r>
            </w:hyperlink>
            <w:r w:rsidRPr="0048356F">
              <w:rPr>
                <w:rFonts w:ascii="新細明體" w:eastAsia="新細明體" w:hAnsi="新細明體" w:cs="新細明體"/>
                <w:kern w:val="0"/>
                <w:szCs w:val="24"/>
              </w:rPr>
              <w:t>條規定，吸收個人股金逾越上限者。</w:t>
            </w:r>
          </w:p>
        </w:tc>
      </w:tr>
      <w:tr w:rsidR="0048356F" w:rsidRPr="0048356F" w:rsidTr="00A91CB0">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五、違反第</w:t>
            </w:r>
            <w:hyperlink r:id="rId27" w:anchor="a14" w:history="1">
              <w:r w:rsidRPr="0048356F">
                <w:rPr>
                  <w:rFonts w:ascii="新細明體" w:eastAsia="新細明體" w:hAnsi="新細明體" w:cs="新細明體"/>
                  <w:color w:val="0000FF"/>
                  <w:kern w:val="0"/>
                  <w:szCs w:val="24"/>
                  <w:u w:val="single"/>
                </w:rPr>
                <w:t>十四</w:t>
              </w:r>
            </w:hyperlink>
            <w:r w:rsidRPr="0048356F">
              <w:rPr>
                <w:rFonts w:ascii="新細明體" w:eastAsia="新細明體" w:hAnsi="新細明體" w:cs="新細明體"/>
                <w:kern w:val="0"/>
                <w:szCs w:val="24"/>
              </w:rPr>
              <w:t>條規定，未依規定辦理退股者。</w:t>
            </w:r>
          </w:p>
        </w:tc>
      </w:tr>
      <w:tr w:rsidR="0048356F" w:rsidRPr="0048356F" w:rsidTr="00A91CB0">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六、違反第</w:t>
            </w:r>
            <w:hyperlink r:id="rId28" w:anchor="a15" w:history="1">
              <w:r w:rsidRPr="0048356F">
                <w:rPr>
                  <w:rFonts w:ascii="新細明體" w:eastAsia="新細明體" w:hAnsi="新細明體" w:cs="新細明體"/>
                  <w:color w:val="0000FF"/>
                  <w:kern w:val="0"/>
                  <w:szCs w:val="24"/>
                  <w:u w:val="single"/>
                </w:rPr>
                <w:t>十五</w:t>
              </w:r>
            </w:hyperlink>
            <w:r w:rsidRPr="0048356F">
              <w:rPr>
                <w:rFonts w:ascii="新細明體" w:eastAsia="新細明體" w:hAnsi="新細明體" w:cs="新細明體"/>
                <w:kern w:val="0"/>
                <w:szCs w:val="24"/>
              </w:rPr>
              <w:t>條規定，盈餘分配不當者。</w:t>
            </w:r>
          </w:p>
        </w:tc>
      </w:tr>
      <w:tr w:rsidR="0048356F" w:rsidRPr="0048356F" w:rsidTr="00A91CB0">
        <w:trPr>
          <w:tblCellSpacing w:w="15" w:type="dxa"/>
        </w:trPr>
        <w:tc>
          <w:tcPr>
            <w:tcW w:w="4969" w:type="pct"/>
            <w:gridSpan w:val="2"/>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七、違反第</w:t>
            </w:r>
            <w:hyperlink r:id="rId29" w:anchor="a20" w:history="1">
              <w:r w:rsidRPr="0048356F">
                <w:rPr>
                  <w:rFonts w:ascii="新細明體" w:eastAsia="新細明體" w:hAnsi="新細明體" w:cs="新細明體"/>
                  <w:color w:val="0000FF"/>
                  <w:kern w:val="0"/>
                  <w:szCs w:val="24"/>
                  <w:u w:val="single"/>
                </w:rPr>
                <w:t>二十</w:t>
              </w:r>
            </w:hyperlink>
            <w:r w:rsidRPr="0048356F">
              <w:rPr>
                <w:rFonts w:ascii="新細明體" w:eastAsia="新細明體" w:hAnsi="新細明體" w:cs="新細明體"/>
                <w:kern w:val="0"/>
                <w:szCs w:val="24"/>
              </w:rPr>
              <w:t>條規定，支付酬勞金者。</w:t>
            </w:r>
          </w:p>
        </w:tc>
      </w:tr>
      <w:tr w:rsidR="0048356F" w:rsidRPr="0048356F" w:rsidTr="00A91CB0">
        <w:trPr>
          <w:tblCellSpacing w:w="15" w:type="dxa"/>
        </w:trPr>
        <w:tc>
          <w:tcPr>
            <w:tcW w:w="4969" w:type="pct"/>
            <w:gridSpan w:val="2"/>
            <w:vAlign w:val="center"/>
            <w:hideMark/>
          </w:tcPr>
          <w:p w:rsidR="0048356F" w:rsidRPr="0048356F" w:rsidRDefault="0048356F" w:rsidP="00A91CB0">
            <w:pPr>
              <w:widowControl/>
              <w:ind w:leftChars="177" w:left="425"/>
              <w:rPr>
                <w:rFonts w:ascii="新細明體" w:eastAsia="新細明體" w:hAnsi="新細明體" w:cs="新細明體"/>
                <w:kern w:val="0"/>
                <w:szCs w:val="24"/>
              </w:rPr>
            </w:pPr>
            <w:r w:rsidRPr="0048356F">
              <w:rPr>
                <w:rFonts w:ascii="新細明體" w:eastAsia="新細明體" w:hAnsi="新細明體" w:cs="新細明體"/>
                <w:kern w:val="0"/>
                <w:szCs w:val="24"/>
              </w:rPr>
              <w:t>前項所定罰鍰之受罰人為儲蓄互助社。儲蓄互助社經依前項受罰後</w:t>
            </w:r>
            <w:r w:rsidRPr="0048356F">
              <w:rPr>
                <w:rFonts w:ascii="新細明體" w:eastAsia="新細明體" w:hAnsi="新細明體" w:cs="新細明體"/>
                <w:spacing w:val="-20"/>
                <w:kern w:val="0"/>
                <w:szCs w:val="24"/>
              </w:rPr>
              <w:t>，對</w:t>
            </w:r>
            <w:r w:rsidRPr="0048356F">
              <w:rPr>
                <w:rFonts w:ascii="新細明體" w:eastAsia="新細明體" w:hAnsi="新細明體" w:cs="新細明體"/>
                <w:kern w:val="0"/>
                <w:szCs w:val="24"/>
              </w:rPr>
              <w:t>應負責之人有求償</w:t>
            </w:r>
            <w:r w:rsidRPr="0048356F">
              <w:rPr>
                <w:rFonts w:ascii="新細明體" w:eastAsia="新細明體" w:hAnsi="新細明體" w:cs="新細明體"/>
                <w:spacing w:val="-20"/>
                <w:kern w:val="0"/>
                <w:szCs w:val="24"/>
              </w:rPr>
              <w:t>權。</w:t>
            </w:r>
          </w:p>
        </w:tc>
      </w:tr>
    </w:tbl>
    <w:p w:rsidR="0048356F" w:rsidRPr="0048356F" w:rsidRDefault="0048356F" w:rsidP="0048356F">
      <w:pPr>
        <w:widowControl/>
        <w:rPr>
          <w:rFonts w:ascii="新細明體" w:eastAsia="新細明體" w:hAnsi="新細明體" w:cs="新細明體"/>
          <w:color w:val="800000"/>
          <w:kern w:val="0"/>
          <w:szCs w:val="24"/>
        </w:rPr>
      </w:pPr>
      <w:bookmarkStart w:id="18" w:name="a34"/>
      <w:bookmarkEnd w:id="18"/>
      <w:r w:rsidRPr="0048356F">
        <w:rPr>
          <w:rFonts w:ascii="新細明體" w:eastAsia="新細明體" w:hAnsi="新細明體" w:cs="新細明體"/>
          <w:color w:val="800000"/>
          <w:kern w:val="0"/>
          <w:szCs w:val="24"/>
        </w:rPr>
        <w:t xml:space="preserve">第三十四條（協會違反本法之罰則） </w:t>
      </w:r>
    </w:p>
    <w:tbl>
      <w:tblPr>
        <w:tblW w:w="5000" w:type="pct"/>
        <w:tblCellSpacing w:w="15" w:type="dxa"/>
        <w:tblCellMar>
          <w:top w:w="15" w:type="dxa"/>
          <w:left w:w="15" w:type="dxa"/>
          <w:bottom w:w="15" w:type="dxa"/>
          <w:right w:w="15" w:type="dxa"/>
        </w:tblCellMar>
        <w:tblLook w:val="04A0"/>
      </w:tblPr>
      <w:tblGrid>
        <w:gridCol w:w="8758"/>
        <w:gridCol w:w="970"/>
      </w:tblGrid>
      <w:tr w:rsidR="0048356F" w:rsidRPr="0048356F" w:rsidTr="00A91CB0">
        <w:trPr>
          <w:tblCellSpacing w:w="15" w:type="dxa"/>
        </w:trPr>
        <w:tc>
          <w:tcPr>
            <w:tcW w:w="4969" w:type="pct"/>
            <w:gridSpan w:val="2"/>
            <w:vAlign w:val="center"/>
            <w:hideMark/>
          </w:tcPr>
          <w:p w:rsidR="0048356F" w:rsidRPr="0048356F" w:rsidRDefault="0048356F" w:rsidP="00B31D2D">
            <w:pPr>
              <w:widowControl/>
              <w:spacing w:line="320" w:lineRule="exact"/>
              <w:ind w:leftChars="177" w:left="425"/>
              <w:rPr>
                <w:rFonts w:ascii="新細明體" w:eastAsia="新細明體" w:hAnsi="新細明體" w:cs="新細明體"/>
                <w:kern w:val="0"/>
                <w:szCs w:val="24"/>
              </w:rPr>
            </w:pPr>
            <w:r w:rsidRPr="0048356F">
              <w:rPr>
                <w:rFonts w:ascii="新細明體" w:eastAsia="新細明體" w:hAnsi="新細明體" w:cs="新細明體"/>
                <w:kern w:val="0"/>
                <w:szCs w:val="24"/>
              </w:rPr>
              <w:t>協會有下列情事之</w:t>
            </w:r>
            <w:proofErr w:type="gramStart"/>
            <w:r w:rsidRPr="0048356F">
              <w:rPr>
                <w:rFonts w:ascii="新細明體" w:eastAsia="新細明體" w:hAnsi="新細明體" w:cs="新細明體"/>
                <w:kern w:val="0"/>
                <w:szCs w:val="24"/>
              </w:rPr>
              <w:t>一</w:t>
            </w:r>
            <w:proofErr w:type="gramEnd"/>
            <w:r w:rsidRPr="0048356F">
              <w:rPr>
                <w:rFonts w:ascii="新細明體" w:eastAsia="新細明體" w:hAnsi="新細明體" w:cs="新細明體"/>
                <w:kern w:val="0"/>
                <w:szCs w:val="24"/>
              </w:rPr>
              <w:t>者，主管機關得依情節輕重，處新臺幣六萬元以上三十萬元以下之罰鍰。</w:t>
            </w:r>
          </w:p>
        </w:tc>
      </w:tr>
      <w:tr w:rsidR="0048356F" w:rsidRPr="0048356F" w:rsidTr="00A91CB0">
        <w:trPr>
          <w:gridAfter w:val="1"/>
          <w:wAfter w:w="475" w:type="pct"/>
          <w:tblCellSpacing w:w="15" w:type="dxa"/>
        </w:trPr>
        <w:tc>
          <w:tcPr>
            <w:tcW w:w="0" w:type="auto"/>
            <w:vAlign w:val="center"/>
            <w:hideMark/>
          </w:tcPr>
          <w:p w:rsidR="0048356F" w:rsidRPr="0048356F" w:rsidRDefault="0048356F" w:rsidP="00B31D2D">
            <w:pPr>
              <w:widowControl/>
              <w:spacing w:line="320" w:lineRule="exact"/>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一、違反第</w:t>
            </w:r>
            <w:hyperlink r:id="rId30" w:anchor="a27" w:history="1">
              <w:r w:rsidRPr="0048356F">
                <w:rPr>
                  <w:rFonts w:ascii="新細明體" w:eastAsia="新細明體" w:hAnsi="新細明體" w:cs="新細明體"/>
                  <w:color w:val="0000FF"/>
                  <w:kern w:val="0"/>
                  <w:szCs w:val="24"/>
                  <w:u w:val="single"/>
                </w:rPr>
                <w:t>二十七</w:t>
              </w:r>
            </w:hyperlink>
            <w:r w:rsidRPr="0048356F">
              <w:rPr>
                <w:rFonts w:ascii="新細明體" w:eastAsia="新細明體" w:hAnsi="新細明體" w:cs="新細明體"/>
                <w:kern w:val="0"/>
                <w:szCs w:val="24"/>
              </w:rPr>
              <w:t>條規定，經營未經核准之業務項目。</w:t>
            </w:r>
          </w:p>
        </w:tc>
      </w:tr>
      <w:tr w:rsidR="0048356F" w:rsidRPr="0048356F" w:rsidTr="00A91CB0">
        <w:trPr>
          <w:gridAfter w:val="1"/>
          <w:wAfter w:w="477" w:type="pct"/>
          <w:tblCellSpacing w:w="15" w:type="dxa"/>
        </w:trPr>
        <w:tc>
          <w:tcPr>
            <w:tcW w:w="0" w:type="auto"/>
            <w:vAlign w:val="center"/>
            <w:hideMark/>
          </w:tcPr>
          <w:p w:rsidR="0048356F" w:rsidRPr="0048356F" w:rsidRDefault="0048356F" w:rsidP="00B31D2D">
            <w:pPr>
              <w:widowControl/>
              <w:spacing w:line="320" w:lineRule="exact"/>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二、違反第</w:t>
            </w:r>
            <w:hyperlink r:id="rId31" w:anchor="a28" w:history="1">
              <w:r w:rsidRPr="0048356F">
                <w:rPr>
                  <w:rFonts w:ascii="新細明體" w:eastAsia="新細明體" w:hAnsi="新細明體" w:cs="新細明體"/>
                  <w:color w:val="0000FF"/>
                  <w:kern w:val="0"/>
                  <w:szCs w:val="24"/>
                  <w:u w:val="single"/>
                </w:rPr>
                <w:t>二十八</w:t>
              </w:r>
            </w:hyperlink>
            <w:r w:rsidRPr="0048356F">
              <w:rPr>
                <w:rFonts w:ascii="新細明體" w:eastAsia="新細明體" w:hAnsi="新細明體" w:cs="新細明體"/>
                <w:kern w:val="0"/>
                <w:szCs w:val="24"/>
              </w:rPr>
              <w:t>條規定，未呈報資料或呈報不實者。</w:t>
            </w:r>
          </w:p>
        </w:tc>
      </w:tr>
    </w:tbl>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color w:val="800000"/>
          <w:kern w:val="0"/>
          <w:szCs w:val="24"/>
        </w:rPr>
        <w:t>第三十五條（施行日）</w:t>
      </w:r>
      <w:r w:rsidRPr="0048356F">
        <w:rPr>
          <w:rFonts w:ascii="新細明體" w:eastAsia="新細明體" w:hAnsi="新細明體" w:cs="新細明體"/>
          <w:kern w:val="0"/>
          <w:szCs w:val="24"/>
        </w:rPr>
        <w:t xml:space="preserve"> </w:t>
      </w:r>
    </w:p>
    <w:tbl>
      <w:tblPr>
        <w:tblW w:w="4500" w:type="pct"/>
        <w:tblCellSpacing w:w="15" w:type="dxa"/>
        <w:tblCellMar>
          <w:top w:w="15" w:type="dxa"/>
          <w:left w:w="15" w:type="dxa"/>
          <w:bottom w:w="15" w:type="dxa"/>
          <w:right w:w="15" w:type="dxa"/>
        </w:tblCellMar>
        <w:tblLook w:val="04A0"/>
      </w:tblPr>
      <w:tblGrid>
        <w:gridCol w:w="8755"/>
      </w:tblGrid>
      <w:tr w:rsidR="0048356F" w:rsidRPr="0048356F" w:rsidTr="0048356F">
        <w:trPr>
          <w:tblCellSpacing w:w="15" w:type="dxa"/>
        </w:trPr>
        <w:tc>
          <w:tcPr>
            <w:tcW w:w="0" w:type="auto"/>
            <w:vAlign w:val="center"/>
            <w:hideMark/>
          </w:tcPr>
          <w:p w:rsidR="0048356F" w:rsidRPr="0048356F" w:rsidRDefault="0048356F" w:rsidP="0048356F">
            <w:pPr>
              <w:widowControl/>
              <w:rPr>
                <w:rFonts w:ascii="新細明體" w:eastAsia="新細明體" w:hAnsi="新細明體" w:cs="新細明體"/>
                <w:kern w:val="0"/>
                <w:szCs w:val="24"/>
              </w:rPr>
            </w:pPr>
            <w:r w:rsidRPr="0048356F">
              <w:rPr>
                <w:rFonts w:ascii="新細明體" w:eastAsia="新細明體" w:hAnsi="新細明體" w:cs="新細明體"/>
                <w:kern w:val="0"/>
                <w:szCs w:val="24"/>
              </w:rPr>
              <w:t xml:space="preserve">　　本法自公布日施行。</w:t>
            </w:r>
          </w:p>
        </w:tc>
      </w:tr>
    </w:tbl>
    <w:p w:rsidR="0048356F" w:rsidRDefault="0048356F" w:rsidP="00B31D2D">
      <w:pPr>
        <w:spacing w:line="0" w:lineRule="atLeast"/>
      </w:pPr>
    </w:p>
    <w:sectPr w:rsidR="0048356F" w:rsidSect="0048356F">
      <w:pgSz w:w="11906" w:h="16838"/>
      <w:pgMar w:top="1134" w:right="1134" w:bottom="1077"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356F"/>
    <w:rsid w:val="0048356F"/>
    <w:rsid w:val="00533E3A"/>
    <w:rsid w:val="005D3327"/>
    <w:rsid w:val="0077309F"/>
    <w:rsid w:val="00790C1A"/>
    <w:rsid w:val="007E0F7E"/>
    <w:rsid w:val="00A91CB0"/>
    <w:rsid w:val="00B31D2D"/>
    <w:rsid w:val="00B92CF5"/>
    <w:rsid w:val="00C564AA"/>
    <w:rsid w:val="00D949D6"/>
    <w:rsid w:val="00FC67C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48356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48356F"/>
    <w:rPr>
      <w:rFonts w:ascii="新細明體" w:eastAsia="新細明體" w:hAnsi="新細明體" w:cs="新細明體"/>
      <w:b/>
      <w:bCs/>
      <w:kern w:val="0"/>
      <w:sz w:val="27"/>
      <w:szCs w:val="27"/>
    </w:rPr>
  </w:style>
  <w:style w:type="character" w:styleId="a3">
    <w:name w:val="Hyperlink"/>
    <w:basedOn w:val="a0"/>
    <w:uiPriority w:val="99"/>
    <w:semiHidden/>
    <w:unhideWhenUsed/>
    <w:rsid w:val="0048356F"/>
    <w:rPr>
      <w:color w:val="0000FF"/>
      <w:u w:val="single"/>
    </w:rPr>
  </w:style>
</w:styles>
</file>

<file path=word/webSettings.xml><?xml version="1.0" encoding="utf-8"?>
<w:webSettings xmlns:r="http://schemas.openxmlformats.org/officeDocument/2006/relationships" xmlns:w="http://schemas.openxmlformats.org/wordprocessingml/2006/main">
  <w:divs>
    <w:div w:id="13663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e5%84%b2%e8%93%84%e4%ba%92%e5%8a%a9%e7%a4%be%e6%b3%95.htm" TargetMode="External"/><Relationship Id="rId13" Type="http://schemas.openxmlformats.org/officeDocument/2006/relationships/hyperlink" Target="http://www.6law.idv.tw/6law/law/%e5%84%b2%e8%93%84%e4%ba%92%e5%8a%a9%e7%a4%be%e6%b3%95.htm" TargetMode="External"/><Relationship Id="rId18" Type="http://schemas.openxmlformats.org/officeDocument/2006/relationships/hyperlink" Target="http://www.6law.idv.tw/6law/law/%e5%84%b2%e8%93%84%e4%ba%92%e5%8a%a9%e7%a4%be%e6%b3%95.htm" TargetMode="External"/><Relationship Id="rId26" Type="http://schemas.openxmlformats.org/officeDocument/2006/relationships/hyperlink" Target="http://www.6law.idv.tw/6law/law/%e5%84%b2%e8%93%84%e4%ba%92%e5%8a%a9%e7%a4%be%e6%b3%95.htm" TargetMode="External"/><Relationship Id="rId3" Type="http://schemas.openxmlformats.org/officeDocument/2006/relationships/settings" Target="settings.xml"/><Relationship Id="rId21" Type="http://schemas.openxmlformats.org/officeDocument/2006/relationships/hyperlink" Target="http://www.6law.idv.tw/6law/law/%e5%84%b2%e8%93%84%e4%ba%92%e5%8a%a9%e7%a4%be%e6%b3%95.htm" TargetMode="External"/><Relationship Id="rId7" Type="http://schemas.openxmlformats.org/officeDocument/2006/relationships/hyperlink" Target="http://www.6law.idv.tw/6law/law/%e5%84%b2%e8%93%84%e4%ba%92%e5%8a%a9%e7%a4%be%e6%b3%95.htm" TargetMode="External"/><Relationship Id="rId12" Type="http://schemas.openxmlformats.org/officeDocument/2006/relationships/hyperlink" Target="http://www.6law.idv.tw/6law/law/%e5%84%b2%e8%93%84%e4%ba%92%e5%8a%a9%e7%a4%be%e6%b3%95.htm" TargetMode="External"/><Relationship Id="rId17" Type="http://schemas.openxmlformats.org/officeDocument/2006/relationships/hyperlink" Target="http://www.6law.idv.tw/6law/law/%e5%84%b2%e8%93%84%e4%ba%92%e5%8a%a9%e7%a4%be%e6%b3%95.htm" TargetMode="External"/><Relationship Id="rId25" Type="http://schemas.openxmlformats.org/officeDocument/2006/relationships/hyperlink" Target="http://www.6law.idv.tw/6law/law/%e5%84%b2%e8%93%84%e4%ba%92%e5%8a%a9%e7%a4%be%e6%b3%95.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6law.idv.tw/6law/law/%e5%84%b2%e8%93%84%e4%ba%92%e5%8a%a9%e7%a4%be%e6%b3%95.htm" TargetMode="External"/><Relationship Id="rId20" Type="http://schemas.openxmlformats.org/officeDocument/2006/relationships/hyperlink" Target="http://www.6law.idv.tw/6law/law/%e5%84%b2%e8%93%84%e4%ba%92%e5%8a%a9%e7%a4%be%e6%b3%95.htm" TargetMode="External"/><Relationship Id="rId29" Type="http://schemas.openxmlformats.org/officeDocument/2006/relationships/hyperlink" Target="http://www.6law.idv.tw/6law/law/%e5%84%b2%e8%93%84%e4%ba%92%e5%8a%a9%e7%a4%be%e6%b3%95.htm" TargetMode="External"/><Relationship Id="rId1" Type="http://schemas.openxmlformats.org/officeDocument/2006/relationships/customXml" Target="../customXml/item1.xml"/><Relationship Id="rId6" Type="http://schemas.openxmlformats.org/officeDocument/2006/relationships/hyperlink" Target="http://www.6law.idv.tw/6law/law/%e5%84%b2%e8%93%84%e4%ba%92%e5%8a%a9%e7%a4%be%e6%b3%95.htm" TargetMode="External"/><Relationship Id="rId11" Type="http://schemas.openxmlformats.org/officeDocument/2006/relationships/hyperlink" Target="http://www.6law.idv.tw/6law/&#27665;&#20107;&#23526;&#21209;&#21028;&#27770;&#20840;&#25991;&#24409;&#32232;.htm" TargetMode="External"/><Relationship Id="rId24" Type="http://schemas.openxmlformats.org/officeDocument/2006/relationships/hyperlink" Target="http://www.6law.idv.tw/6law/law/%e5%84%b2%e8%93%84%e4%ba%92%e5%8a%a9%e7%a4%be%e6%b3%95.htm" TargetMode="External"/><Relationship Id="rId32" Type="http://schemas.openxmlformats.org/officeDocument/2006/relationships/fontTable" Target="fontTable.xml"/><Relationship Id="rId5" Type="http://schemas.openxmlformats.org/officeDocument/2006/relationships/hyperlink" Target="http://www.6law.idv.tw/6law/law/%e5%84%b2%e8%93%84%e4%ba%92%e5%8a%a9%e7%a4%be%e6%b3%95.htm" TargetMode="External"/><Relationship Id="rId15" Type="http://schemas.openxmlformats.org/officeDocument/2006/relationships/hyperlink" Target="http://www.6law.idv.tw/6law/law/%e5%84%b2%e8%93%84%e4%ba%92%e5%8a%a9%e7%a4%be%e6%b3%95.htm" TargetMode="External"/><Relationship Id="rId23" Type="http://schemas.openxmlformats.org/officeDocument/2006/relationships/hyperlink" Target="http://www.6law.idv.tw/6law/law/%e5%84%b2%e8%93%84%e4%ba%92%e5%8a%a9%e7%a4%be%e6%b3%95.htm" TargetMode="External"/><Relationship Id="rId28" Type="http://schemas.openxmlformats.org/officeDocument/2006/relationships/hyperlink" Target="http://www.6law.idv.tw/6law/law/%e5%84%b2%e8%93%84%e4%ba%92%e5%8a%a9%e7%a4%be%e6%b3%95.htm" TargetMode="External"/><Relationship Id="rId10" Type="http://schemas.openxmlformats.org/officeDocument/2006/relationships/hyperlink" Target="http://www.6law.idv.tw/6law/law/%e5%84%b2%e8%93%84%e4%ba%92%e5%8a%a9%e7%a4%be%e6%b3%95.htm" TargetMode="External"/><Relationship Id="rId19" Type="http://schemas.openxmlformats.org/officeDocument/2006/relationships/hyperlink" Target="http://www.6law.idv.tw/6law/law/%e5%84%b2%e8%93%84%e4%ba%92%e5%8a%a9%e7%a4%be%e6%b3%95.htm" TargetMode="External"/><Relationship Id="rId31" Type="http://schemas.openxmlformats.org/officeDocument/2006/relationships/hyperlink" Target="http://www.6law.idv.tw/6law/law/%e5%84%b2%e8%93%84%e4%ba%92%e5%8a%a9%e7%a4%be%e6%b3%95.htm" TargetMode="External"/><Relationship Id="rId4" Type="http://schemas.openxmlformats.org/officeDocument/2006/relationships/webSettings" Target="webSettings.xml"/><Relationship Id="rId9" Type="http://schemas.openxmlformats.org/officeDocument/2006/relationships/hyperlink" Target="http://www.6law.idv.tw/6law/law/%e5%84%b2%e8%93%84%e4%ba%92%e5%8a%a9%e7%a4%be%e6%b3%95.htm" TargetMode="External"/><Relationship Id="rId14" Type="http://schemas.openxmlformats.org/officeDocument/2006/relationships/hyperlink" Target="http://www.6law.idv.tw/6law/law/%e5%84%b2%e8%93%84%e4%ba%92%e5%8a%a9%e7%a4%be%e6%b3%95.htm" TargetMode="External"/><Relationship Id="rId22" Type="http://schemas.openxmlformats.org/officeDocument/2006/relationships/hyperlink" Target="http://www.6law.idv.tw/6law/law/%e5%84%b2%e8%93%84%e4%ba%92%e5%8a%a9%e7%a4%be%e6%b3%95.htm" TargetMode="External"/><Relationship Id="rId27" Type="http://schemas.openxmlformats.org/officeDocument/2006/relationships/hyperlink" Target="http://www.6law.idv.tw/6law/law/%e5%84%b2%e8%93%84%e4%ba%92%e5%8a%a9%e7%a4%be%e6%b3%95.htm" TargetMode="External"/><Relationship Id="rId30" Type="http://schemas.openxmlformats.org/officeDocument/2006/relationships/hyperlink" Target="http://www.6law.idv.tw/6law/law/%e5%84%b2%e8%93%84%e4%ba%92%e5%8a%a9%e7%a4%be%e6%b3%95.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7271-8F0B-46ED-87C1-4B3493FD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1091</Words>
  <Characters>6219</Characters>
  <Application>Microsoft Office Word</Application>
  <DocSecurity>0</DocSecurity>
  <Lines>51</Lines>
  <Paragraphs>14</Paragraphs>
  <ScaleCrop>false</ScaleCrop>
  <Company>HOME</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2011-09-28T02:36:00Z</dcterms:created>
  <dcterms:modified xsi:type="dcterms:W3CDTF">2011-09-28T03:19:00Z</dcterms:modified>
</cp:coreProperties>
</file>