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7B53" w14:textId="3BAA549B" w:rsidR="009D68A1" w:rsidRPr="00BE402E" w:rsidRDefault="009D68A1" w:rsidP="009D68A1">
      <w:pPr>
        <w:pBdr>
          <w:bottom w:val="single" w:sz="12" w:space="1" w:color="auto"/>
        </w:pBdr>
        <w:jc w:val="center"/>
        <w:rPr>
          <w:rFonts w:ascii="Proxima Nova Rg" w:hAnsi="Proxima Nova Rg"/>
          <w:b/>
          <w:caps/>
          <w:sz w:val="28"/>
          <w:szCs w:val="28"/>
          <w:lang w:eastAsia="zh-TW"/>
        </w:rPr>
      </w:pPr>
      <w:r w:rsidRPr="00B1094F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國際</w:t>
      </w:r>
      <w:r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儲蓄</w:t>
      </w:r>
      <w:proofErr w:type="gramStart"/>
      <w:r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互助社</w:t>
      </w:r>
      <w:r w:rsidR="00CC76B5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節</w:t>
      </w:r>
      <w:proofErr w:type="gramEnd"/>
      <w:r w:rsidR="00CC76B5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(</w:t>
      </w:r>
      <w:r w:rsidRPr="00B1094F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日</w:t>
      </w:r>
      <w:r w:rsidR="00CC76B5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)</w:t>
      </w:r>
      <w:r w:rsidR="00486B57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主題</w:t>
      </w:r>
      <w:r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說明</w:t>
      </w:r>
    </w:p>
    <w:p w14:paraId="5E75F5B1" w14:textId="6101C6D0" w:rsidR="009D68A1" w:rsidRPr="0098562C" w:rsidRDefault="009D68A1" w:rsidP="009D68A1">
      <w:pPr>
        <w:spacing w:before="240" w:line="300" w:lineRule="atLeast"/>
        <w:rPr>
          <w:rFonts w:ascii="Proxima Nova Rg" w:hAnsi="Proxima Nova Rg"/>
          <w:b/>
          <w:sz w:val="28"/>
          <w:szCs w:val="28"/>
          <w:lang w:eastAsia="zh-TW"/>
        </w:rPr>
      </w:pPr>
      <w:r w:rsidRPr="00B1094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什麼是國際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儲蓄互助社</w:t>
      </w:r>
      <w:r w:rsidRPr="00B1094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（</w:t>
      </w:r>
      <w:r w:rsidRPr="00B1094F">
        <w:rPr>
          <w:rFonts w:ascii="Proxima Nova Rg" w:hAnsi="Proxima Nova Rg"/>
          <w:b/>
          <w:sz w:val="28"/>
          <w:szCs w:val="28"/>
          <w:lang w:eastAsia="zh-TW"/>
        </w:rPr>
        <w:t>ICU</w:t>
      </w:r>
      <w:r w:rsidRPr="00B1094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）</w:t>
      </w:r>
      <w:r w:rsidR="00F00A61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節(</w:t>
      </w:r>
      <w:r w:rsidRPr="00B1094F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日</w:t>
      </w:r>
      <w:r w:rsidR="00F00A61">
        <w:rPr>
          <w:rFonts w:ascii="微軟正黑體" w:eastAsia="微軟正黑體" w:hAnsi="微軟正黑體" w:cs="微軟正黑體" w:hint="eastAsia"/>
          <w:b/>
          <w:caps/>
          <w:sz w:val="28"/>
          <w:szCs w:val="28"/>
          <w:lang w:eastAsia="zh-TW"/>
        </w:rPr>
        <w:t>)</w:t>
      </w:r>
      <w:r w:rsidRPr="00B1094F">
        <w:rPr>
          <w:rFonts w:ascii="Proxima Nova Rg" w:hAnsi="Proxima Nova Rg"/>
          <w:b/>
          <w:sz w:val="28"/>
          <w:szCs w:val="28"/>
          <w:lang w:eastAsia="zh-TW"/>
        </w:rPr>
        <w:t>®</w:t>
      </w:r>
      <w:r w:rsidRPr="00B1094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？</w:t>
      </w:r>
    </w:p>
    <w:p w14:paraId="6E5F7FA2" w14:textId="5542B53C" w:rsidR="009D68A1" w:rsidRPr="0098562C" w:rsidRDefault="009D68A1" w:rsidP="009D68A1">
      <w:pPr>
        <w:numPr>
          <w:ilvl w:val="0"/>
          <w:numId w:val="6"/>
        </w:numPr>
        <w:rPr>
          <w:rFonts w:ascii="Proxima Nova Rg" w:hAnsi="Proxima Nova Rg"/>
          <w:sz w:val="28"/>
          <w:szCs w:val="28"/>
          <w:lang w:eastAsia="zh-TW"/>
        </w:rPr>
      </w:pPr>
      <w:r w:rsidRPr="00F870C2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國際儲蓄互助社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(</w:t>
      </w:r>
      <w:r w:rsidRPr="005D3ADB">
        <w:rPr>
          <w:rFonts w:ascii="Proxima Nova Rg" w:hAnsi="Proxima Nova Rg"/>
          <w:sz w:val="28"/>
          <w:szCs w:val="28"/>
          <w:lang w:eastAsia="zh-TW"/>
        </w:rPr>
        <w:t>ICU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)</w:t>
      </w:r>
      <w:r w:rsidR="00F00A61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節(日)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自</w:t>
      </w:r>
      <w:r w:rsidRPr="00B1094F">
        <w:rPr>
          <w:rFonts w:ascii="Proxima Nova Rg" w:hAnsi="Proxima Nova Rg"/>
          <w:sz w:val="28"/>
          <w:szCs w:val="28"/>
          <w:lang w:eastAsia="zh-TW"/>
        </w:rPr>
        <w:t>1948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年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起於</w:t>
      </w:r>
      <w:r w:rsidRPr="00B1094F">
        <w:rPr>
          <w:rFonts w:ascii="Proxima Nova Rg" w:hAnsi="Proxima Nova Rg"/>
          <w:sz w:val="28"/>
          <w:szCs w:val="28"/>
          <w:lang w:eastAsia="zh-TW"/>
        </w:rPr>
        <w:t>10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月的第三</w:t>
      </w:r>
      <w:proofErr w:type="gramStart"/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</w:t>
      </w:r>
      <w:proofErr w:type="gramEnd"/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星期四慶祝，旨在提高知名度並慶祝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改善其</w:t>
      </w:r>
      <w:r w:rsidR="00F00A61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員的生活方式。</w:t>
      </w:r>
    </w:p>
    <w:p w14:paraId="60B05F1D" w14:textId="2476FE8C" w:rsidR="009D68A1" w:rsidRPr="0098562C" w:rsidRDefault="009D68A1" w:rsidP="009D68A1">
      <w:pPr>
        <w:numPr>
          <w:ilvl w:val="0"/>
          <w:numId w:val="6"/>
        </w:numPr>
        <w:rPr>
          <w:rFonts w:ascii="Proxima Nova Rg" w:hAnsi="Proxima Nova Rg"/>
          <w:sz w:val="28"/>
          <w:szCs w:val="28"/>
          <w:lang w:eastAsia="zh-TW"/>
        </w:rPr>
      </w:pP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這是整個運動每年都需要時間告訴他們的</w:t>
      </w:r>
      <w:r w:rsidR="00F00A61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員和社區的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，而當人們了解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是什麼以及它的運作方式（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非營利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並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讓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社員能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留下更多的錢），他們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會更</w:t>
      </w:r>
      <w:r w:rsidRPr="00B1094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傾向於喜歡它。</w:t>
      </w:r>
    </w:p>
    <w:p w14:paraId="693DBFB6" w14:textId="72401F28" w:rsidR="009D68A1" w:rsidRPr="005D3ADB" w:rsidRDefault="009D68A1" w:rsidP="009D68A1">
      <w:pPr>
        <w:numPr>
          <w:ilvl w:val="0"/>
          <w:numId w:val="6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5D3ADB">
        <w:rPr>
          <w:rFonts w:ascii="Proxima Nova Rg" w:hAnsi="Proxima Nova Rg"/>
          <w:sz w:val="28"/>
          <w:szCs w:val="28"/>
          <w:lang w:eastAsia="zh-TW"/>
        </w:rPr>
        <w:t>2025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年</w:t>
      </w:r>
      <w:r w:rsidRPr="005D3ADB">
        <w:rPr>
          <w:rFonts w:ascii="Proxima Nova Rg" w:hAnsi="Proxima Nova Rg"/>
          <w:sz w:val="28"/>
          <w:szCs w:val="28"/>
          <w:lang w:eastAsia="zh-TW"/>
        </w:rPr>
        <w:t>10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月</w:t>
      </w:r>
      <w:r w:rsidRPr="005D3ADB">
        <w:rPr>
          <w:rFonts w:ascii="Proxima Nova Rg" w:hAnsi="Proxima Nova Rg"/>
          <w:sz w:val="28"/>
          <w:szCs w:val="28"/>
          <w:lang w:eastAsia="zh-TW"/>
        </w:rPr>
        <w:t>16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日星期四，全球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運動以</w:t>
      </w:r>
      <w:r w:rsidR="00751B57">
        <w:rPr>
          <w:rFonts w:ascii="新細明體" w:eastAsia="新細明體" w:hAnsi="新細明體" w:cs="新細明體" w:hint="eastAsia"/>
          <w:b/>
          <w:bCs/>
          <w:sz w:val="28"/>
          <w:szCs w:val="28"/>
          <w:lang w:eastAsia="zh-TW"/>
        </w:rPr>
        <w:t>「</w:t>
      </w:r>
      <w:r w:rsidR="00FD6FF5" w:rsidRPr="00FD6FF5"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合作共創繁榮的世界</w:t>
      </w:r>
      <w:r w:rsidR="00751B57">
        <w:rPr>
          <w:rFonts w:ascii="新細明體" w:eastAsia="新細明體" w:hAnsi="新細明體" w:cs="新細明體" w:hint="eastAsia"/>
          <w:b/>
          <w:bCs/>
          <w:sz w:val="28"/>
          <w:szCs w:val="28"/>
          <w:lang w:eastAsia="zh-TW"/>
        </w:rPr>
        <w:t>」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為主題慶祝</w:t>
      </w:r>
      <w:r w:rsidRPr="005D3ADB">
        <w:rPr>
          <w:rFonts w:ascii="Proxima Nova Rg" w:hAnsi="Proxima Nova Rg"/>
          <w:sz w:val="28"/>
          <w:szCs w:val="28"/>
          <w:lang w:eastAsia="zh-TW"/>
        </w:rPr>
        <w:t>ICU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日的</w:t>
      </w:r>
      <w:r w:rsidRPr="005D3ADB">
        <w:rPr>
          <w:rFonts w:ascii="Proxima Nova Rg" w:hAnsi="Proxima Nova Rg"/>
          <w:sz w:val="28"/>
          <w:szCs w:val="28"/>
          <w:lang w:eastAsia="zh-TW"/>
        </w:rPr>
        <w:t>77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週年。</w:t>
      </w:r>
      <w:r w:rsidRPr="005D3ADB">
        <w:rPr>
          <w:rFonts w:ascii="Proxima Nova Rg" w:hAnsi="Proxima Nova Rg"/>
          <w:sz w:val="28"/>
          <w:szCs w:val="28"/>
          <w:lang w:eastAsia="zh-TW"/>
        </w:rPr>
        <w:t xml:space="preserve"> 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隨著聯合國宣布</w:t>
      </w:r>
      <w:r w:rsidRPr="005D3ADB">
        <w:rPr>
          <w:rFonts w:ascii="Proxima Nova Rg" w:hAnsi="Proxima Nova Rg"/>
          <w:sz w:val="28"/>
          <w:szCs w:val="28"/>
          <w:lang w:eastAsia="zh-TW"/>
        </w:rPr>
        <w:t>2025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年</w:t>
      </w:r>
      <w:r w:rsidR="00751B57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「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以共同建立一個更好的世界</w:t>
      </w:r>
      <w:r w:rsidR="00751B57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」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為主題的國際合作年，</w:t>
      </w:r>
      <w:r w:rsidRPr="005D3ADB">
        <w:rPr>
          <w:rFonts w:ascii="Proxima Nova Rg" w:hAnsi="Proxima Nova Rg"/>
          <w:sz w:val="28"/>
          <w:szCs w:val="28"/>
          <w:lang w:eastAsia="zh-TW"/>
        </w:rPr>
        <w:t>2025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主題有目的地反映出，這意味著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通過合作金融來幫助全球實現更多的繁榮和福祉的方式。</w:t>
      </w:r>
    </w:p>
    <w:p w14:paraId="00F0A3B4" w14:textId="4DA8D2C5" w:rsidR="009D68A1" w:rsidRPr="005D3ADB" w:rsidRDefault="009D68A1" w:rsidP="009D68A1">
      <w:pPr>
        <w:numPr>
          <w:ilvl w:val="0"/>
          <w:numId w:val="6"/>
        </w:numPr>
        <w:spacing w:after="240"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確實擁有完美的</w:t>
      </w:r>
      <w:r w:rsidR="00751B57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經營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模式，可以對全球</w:t>
      </w:r>
      <w:r w:rsidR="00751B57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員和社區做出承諾。現在，全球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運動的成員超過</w:t>
      </w:r>
      <w:r w:rsidRPr="005D3ADB">
        <w:rPr>
          <w:rFonts w:ascii="Proxima Nova Rg" w:hAnsi="Proxima Nova Rg"/>
          <w:sz w:val="28"/>
          <w:szCs w:val="28"/>
          <w:lang w:eastAsia="zh-TW"/>
        </w:rPr>
        <w:t>4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億</w:t>
      </w:r>
      <w:r w:rsidRPr="005D3ADB">
        <w:rPr>
          <w:rFonts w:ascii="Proxima Nova Rg" w:hAnsi="Proxima Nova Rg"/>
          <w:sz w:val="28"/>
          <w:szCs w:val="28"/>
          <w:lang w:eastAsia="zh-TW"/>
        </w:rPr>
        <w:t>11</w:t>
      </w:r>
      <w:r>
        <w:rPr>
          <w:rFonts w:ascii="Proxima Nova Rg" w:eastAsiaTheme="minorEastAsia" w:hAnsi="Proxima Nova Rg" w:hint="eastAsia"/>
          <w:sz w:val="28"/>
          <w:szCs w:val="28"/>
          <w:lang w:eastAsia="zh-TW"/>
        </w:rPr>
        <w:t>00</w:t>
      </w:r>
      <w:r w:rsidRPr="00F870C2">
        <w:rPr>
          <w:rFonts w:ascii="微軟正黑體" w:eastAsia="微軟正黑體" w:hAnsi="微軟正黑體" w:hint="eastAsia"/>
          <w:sz w:val="28"/>
          <w:szCs w:val="28"/>
          <w:lang w:eastAsia="zh-TW"/>
        </w:rPr>
        <w:t>萬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且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在</w:t>
      </w:r>
      <w:r w:rsidRPr="005D3ADB">
        <w:rPr>
          <w:rFonts w:ascii="Proxima Nova Rg" w:hAnsi="Proxima Nova Rg"/>
          <w:sz w:val="28"/>
          <w:szCs w:val="28"/>
          <w:lang w:eastAsia="zh-TW"/>
        </w:rPr>
        <w:t>104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個國家</w:t>
      </w:r>
      <w:r w:rsidRPr="005D3ADB">
        <w:rPr>
          <w:rFonts w:ascii="Proxima Nova Rg" w:hAnsi="Proxima Nova Rg"/>
          <w:sz w:val="28"/>
          <w:szCs w:val="28"/>
          <w:lang w:eastAsia="zh-TW"/>
        </w:rPr>
        <w:t>/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地區有超過</w:t>
      </w:r>
      <w:r w:rsidRPr="005D3ADB">
        <w:rPr>
          <w:rFonts w:ascii="Proxima Nova Rg" w:hAnsi="Proxima Nova Rg"/>
          <w:sz w:val="28"/>
          <w:szCs w:val="28"/>
          <w:lang w:eastAsia="zh-TW"/>
        </w:rPr>
        <w:t>74,000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為他們提供服務。</w:t>
      </w:r>
    </w:p>
    <w:p w14:paraId="2AC4EA29" w14:textId="77777777" w:rsidR="009D68A1" w:rsidRPr="005D3ADB" w:rsidRDefault="009D68A1" w:rsidP="009D68A1">
      <w:pPr>
        <w:spacing w:after="240" w:line="300" w:lineRule="atLeast"/>
        <w:rPr>
          <w:rFonts w:ascii="Proxima Nova Rg" w:eastAsiaTheme="minorEastAsia" w:hAnsi="Proxima Nova Rg"/>
          <w:b/>
          <w:sz w:val="28"/>
          <w:szCs w:val="28"/>
          <w:lang w:eastAsia="zh-TW"/>
        </w:rPr>
      </w:pPr>
      <w:r w:rsidRPr="005D3ADB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是什麼使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與眾不同？</w:t>
      </w:r>
    </w:p>
    <w:p w14:paraId="5F580275" w14:textId="3BB5D3D7" w:rsidR="009D68A1" w:rsidRPr="0098562C" w:rsidRDefault="009D68A1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5D3ADB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平等所有權</w:t>
      </w:r>
      <w:r w:rsidRPr="005D3ADB">
        <w:rPr>
          <w:rFonts w:ascii="Proxima Nova Rg" w:hAnsi="Proxima Nova Rg"/>
          <w:b/>
          <w:sz w:val="28"/>
          <w:szCs w:val="28"/>
          <w:lang w:eastAsia="zh-TW"/>
        </w:rPr>
        <w:t xml:space="preserve"> - 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是由民主控制和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員擁有和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員經營的。每</w:t>
      </w:r>
      <w:proofErr w:type="gramStart"/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個</w:t>
      </w:r>
      <w:proofErr w:type="gramEnd"/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員的所有權都具有同等的所有權和一票，無論他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/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她在儲蓄中有多少錢。</w:t>
      </w:r>
      <w:r w:rsidRPr="0098562C">
        <w:rPr>
          <w:rFonts w:ascii="Proxima Nova Rg" w:hAnsi="Proxima Nova Rg"/>
          <w:sz w:val="28"/>
          <w:szCs w:val="28"/>
          <w:lang w:eastAsia="zh-TW"/>
        </w:rPr>
        <w:t xml:space="preserve"> </w:t>
      </w:r>
    </w:p>
    <w:p w14:paraId="4E63267F" w14:textId="53850E19" w:rsidR="009D68A1" w:rsidRPr="0098562C" w:rsidRDefault="009D68A1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非營</w:t>
      </w:r>
      <w:r w:rsidRPr="005D3ADB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利</w:t>
      </w:r>
      <w:r w:rsidRPr="005D3ADB">
        <w:rPr>
          <w:rFonts w:ascii="Proxima Nova Rg" w:hAnsi="Proxima Nova Rg"/>
          <w:bCs/>
          <w:sz w:val="28"/>
          <w:szCs w:val="28"/>
          <w:lang w:eastAsia="zh-TW"/>
        </w:rPr>
        <w:t xml:space="preserve"> - 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是非營利性的金融合作</w:t>
      </w:r>
      <w:r w:rsidR="00751B5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組織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，為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5D3ADB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員提供一個安全，便捷的場所，以節省金錢和以合理的利率來節省貸款和其他金融服務。</w:t>
      </w:r>
    </w:p>
    <w:p w14:paraId="4CC8AC27" w14:textId="725944E7" w:rsidR="009D68A1" w:rsidRPr="0098562C" w:rsidRDefault="009D68A1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lastRenderedPageBreak/>
        <w:t>社會目的：</w:t>
      </w:r>
      <w:r w:rsidR="001B0CD4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以</w:t>
      </w: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人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助</w:t>
      </w: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人</w:t>
      </w:r>
      <w:r w:rsidRPr="00A35A26">
        <w:rPr>
          <w:rFonts w:ascii="Proxima Nova Rg" w:hAnsi="Proxima Nova Rg"/>
          <w:b/>
          <w:sz w:val="28"/>
          <w:szCs w:val="28"/>
          <w:lang w:eastAsia="zh-TW"/>
        </w:rPr>
        <w:t xml:space="preserve"> - 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為其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員服務，而不是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營利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。這種</w:t>
      </w:r>
      <w:r w:rsidR="001B0CD4">
        <w:rPr>
          <w:rFonts w:ascii="新細明體" w:eastAsia="新細明體" w:hAnsi="新細明體" w:cs="新細明體" w:hint="eastAsia"/>
          <w:bCs/>
          <w:sz w:val="28"/>
          <w:szCs w:val="28"/>
          <w:lang w:eastAsia="zh-TW"/>
        </w:rPr>
        <w:t>「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以人優先</w:t>
      </w:r>
      <w:r w:rsidR="001B0CD4">
        <w:rPr>
          <w:rFonts w:ascii="新細明體" w:eastAsia="新細明體" w:hAnsi="新細明體" w:cs="新細明體" w:hint="eastAsia"/>
          <w:bCs/>
          <w:sz w:val="28"/>
          <w:szCs w:val="28"/>
          <w:lang w:eastAsia="zh-TW"/>
        </w:rPr>
        <w:t>」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的理念促使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及其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職員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參與社區並支持有價值的事業</w:t>
      </w:r>
      <w:r w:rsidRPr="00A35A26">
        <w:rPr>
          <w:rFonts w:ascii="新細明體" w:eastAsia="新細明體" w:hAnsi="新細明體" w:cs="新細明體" w:hint="eastAsia"/>
          <w:bCs/>
          <w:sz w:val="28"/>
          <w:szCs w:val="28"/>
          <w:lang w:eastAsia="zh-TW"/>
        </w:rPr>
        <w:t>。</w:t>
      </w:r>
    </w:p>
    <w:p w14:paraId="49814216" w14:textId="3513719F" w:rsidR="009D68A1" w:rsidRPr="0098562C" w:rsidRDefault="009D68A1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志願</w:t>
      </w:r>
      <w:r w:rsidR="001B0CD4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服務</w:t>
      </w: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者領導</w:t>
      </w:r>
      <w:r w:rsidRPr="00A35A26">
        <w:rPr>
          <w:rFonts w:ascii="Proxima Nova Rg" w:hAnsi="Proxima Nova Rg"/>
          <w:bCs/>
          <w:sz w:val="28"/>
          <w:szCs w:val="28"/>
          <w:lang w:eastAsia="zh-TW"/>
        </w:rPr>
        <w:t xml:space="preserve"> - 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每</w:t>
      </w:r>
      <w:proofErr w:type="gramStart"/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個</w:t>
      </w:r>
      <w:proofErr w:type="gramEnd"/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都由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推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選出的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理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監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事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志願服務者來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治理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。</w:t>
      </w:r>
      <w:r w:rsidRPr="00A35A26">
        <w:rPr>
          <w:rFonts w:ascii="Proxima Nova Rg" w:hAnsi="Proxima Nova Rg"/>
          <w:bCs/>
          <w:sz w:val="28"/>
          <w:szCs w:val="28"/>
          <w:lang w:eastAsia="zh-TW"/>
        </w:rPr>
        <w:t xml:space="preserve"> </w:t>
      </w:r>
    </w:p>
    <w:p w14:paraId="7ED131BC" w14:textId="65CC77E0" w:rsidR="009D68A1" w:rsidRPr="00A35A26" w:rsidRDefault="001B0CD4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社</w:t>
      </w:r>
      <w:r w:rsidR="009D68A1"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員的金融教育</w:t>
      </w:r>
      <w:r w:rsidR="009D68A1" w:rsidRPr="00A35A26">
        <w:rPr>
          <w:rFonts w:ascii="Proxima Nova Rg" w:hAnsi="Proxima Nova Rg"/>
          <w:bCs/>
          <w:sz w:val="28"/>
          <w:szCs w:val="28"/>
          <w:lang w:eastAsia="zh-TW"/>
        </w:rPr>
        <w:t xml:space="preserve"> - </w:t>
      </w:r>
      <w:r w:rsidR="009D68A1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="009D68A1"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對其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="009D68A1"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員和公眾的教育機會特別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重視</w:t>
      </w:r>
      <w:r w:rsidR="009D68A1"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，以幫助每個人成為受過良好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金融</w:t>
      </w:r>
      <w:r w:rsidR="009D68A1"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教育的消費者。</w:t>
      </w:r>
    </w:p>
    <w:p w14:paraId="3A6E0124" w14:textId="3CF0C474" w:rsidR="009D68A1" w:rsidRPr="003E0E84" w:rsidRDefault="009D68A1" w:rsidP="009D68A1">
      <w:pPr>
        <w:numPr>
          <w:ilvl w:val="0"/>
          <w:numId w:val="7"/>
        </w:numPr>
        <w:spacing w:line="300" w:lineRule="atLeast"/>
        <w:rPr>
          <w:rFonts w:ascii="Proxima Nova Rg" w:hAnsi="Proxima Nova Rg"/>
          <w:bCs/>
          <w:sz w:val="28"/>
          <w:szCs w:val="28"/>
          <w:lang w:eastAsia="zh-TW"/>
        </w:rPr>
      </w:pPr>
      <w:r w:rsidRPr="00A35A26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信任</w:t>
      </w:r>
      <w:r w:rsidRPr="00A35A26">
        <w:rPr>
          <w:rFonts w:ascii="Proxima Nova Rg" w:hAnsi="Proxima Nova Rg"/>
          <w:b/>
          <w:sz w:val="28"/>
          <w:szCs w:val="28"/>
          <w:lang w:eastAsia="zh-TW"/>
        </w:rPr>
        <w:t xml:space="preserve"> - 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最近的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新聞報導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</w:t>
      </w:r>
      <w:proofErr w:type="gramStart"/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互助社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因在</w:t>
      </w:r>
      <w:proofErr w:type="gramEnd"/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世界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動蕩的時期內成為值得信賴和韌性的機構而受到</w:t>
      </w:r>
      <w:r w:rsidR="00981F87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矚目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。全世界的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="001B0CD4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員可以為這些成就感到自豪，並確保他們的資金在</w:t>
      </w:r>
      <w:r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儲蓄互助社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中是安全的。</w:t>
      </w:r>
    </w:p>
    <w:p w14:paraId="292EA80F" w14:textId="0780275C" w:rsidR="009D68A1" w:rsidRPr="003E0E84" w:rsidRDefault="009D68A1" w:rsidP="009D68A1">
      <w:pPr>
        <w:spacing w:before="240" w:after="240" w:line="300" w:lineRule="atLeast"/>
        <w:rPr>
          <w:rFonts w:ascii="Proxima Nova Rg" w:eastAsiaTheme="minorEastAsia" w:hAnsi="Proxima Nova Rg"/>
          <w:b/>
          <w:sz w:val="28"/>
          <w:szCs w:val="28"/>
          <w:lang w:eastAsia="zh-TW"/>
        </w:rPr>
      </w:pPr>
      <w:r w:rsidRPr="003E0E84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展示社區承諾和值得信賴的服務</w:t>
      </w:r>
    </w:p>
    <w:p w14:paraId="7DF20317" w14:textId="77777777" w:rsidR="009D68A1" w:rsidRPr="0098562C" w:rsidRDefault="009D68A1" w:rsidP="009D68A1">
      <w:pPr>
        <w:numPr>
          <w:ilvl w:val="0"/>
          <w:numId w:val="6"/>
        </w:numPr>
        <w:spacing w:line="300" w:lineRule="atLeast"/>
        <w:rPr>
          <w:rFonts w:ascii="Proxima Nova Rg" w:hAnsi="Proxima Nova Rg"/>
          <w:sz w:val="28"/>
          <w:szCs w:val="28"/>
        </w:rPr>
      </w:pPr>
      <w:r w:rsidRPr="003E0E84">
        <w:rPr>
          <w:rFonts w:ascii="微軟正黑體" w:eastAsia="微軟正黑體" w:hAnsi="微軟正黑體" w:cs="微軟正黑體" w:hint="eastAsia"/>
          <w:sz w:val="28"/>
          <w:szCs w:val="28"/>
        </w:rPr>
        <w:t>社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群</w:t>
      </w:r>
      <w:proofErr w:type="spellStart"/>
      <w:r w:rsidRPr="003E0E84">
        <w:rPr>
          <w:rFonts w:ascii="微軟正黑體" w:eastAsia="微軟正黑體" w:hAnsi="微軟正黑體" w:cs="微軟正黑體" w:hint="eastAsia"/>
          <w:sz w:val="28"/>
          <w:szCs w:val="28"/>
        </w:rPr>
        <w:t>宣傳</w:t>
      </w:r>
      <w:proofErr w:type="spellEnd"/>
    </w:p>
    <w:p w14:paraId="486D79AC" w14:textId="49EE616A" w:rsidR="009D68A1" w:rsidRPr="0098562C" w:rsidRDefault="00981F87" w:rsidP="009D68A1">
      <w:pPr>
        <w:numPr>
          <w:ilvl w:val="1"/>
          <w:numId w:val="4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相較於那些</w:t>
      </w:r>
      <w:r w:rsidR="009D68A1"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不提供更多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服務的</w:t>
      </w:r>
      <w:r w:rsidR="009D68A1"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傳統金融機構或商業銀行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，儲蓄互助社提供社員</w:t>
      </w:r>
      <w:r w:rsidR="009D68A1"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值得信賴和負擔得起的金融服務。向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金融</w:t>
      </w:r>
      <w:r w:rsidR="009D68A1"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服務不足的地區擴展服務為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民眾</w:t>
      </w:r>
      <w:r w:rsidR="009D68A1"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提供了改善生活的機會</w:t>
      </w:r>
      <w:r w:rsidR="009D68A1"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。</w:t>
      </w:r>
      <w:r w:rsidR="009D68A1" w:rsidRPr="0098562C">
        <w:rPr>
          <w:rFonts w:ascii="Proxima Nova Rg" w:hAnsi="Proxima Nova Rg"/>
          <w:sz w:val="28"/>
          <w:szCs w:val="28"/>
          <w:lang w:eastAsia="zh-TW"/>
        </w:rPr>
        <w:t xml:space="preserve"> </w:t>
      </w:r>
    </w:p>
    <w:p w14:paraId="2AE1A01D" w14:textId="77777777" w:rsidR="009D68A1" w:rsidRPr="0098562C" w:rsidRDefault="009D68A1" w:rsidP="009D68A1">
      <w:pPr>
        <w:numPr>
          <w:ilvl w:val="0"/>
          <w:numId w:val="6"/>
        </w:numPr>
        <w:spacing w:line="300" w:lineRule="atLeast"/>
        <w:rPr>
          <w:rFonts w:ascii="Proxima Nova Rg" w:hAnsi="Proxima Nova Rg"/>
          <w:sz w:val="28"/>
          <w:szCs w:val="28"/>
        </w:rPr>
      </w:pPr>
      <w:proofErr w:type="spellStart"/>
      <w:r w:rsidRPr="003E0E84">
        <w:rPr>
          <w:rFonts w:ascii="微軟正黑體" w:eastAsia="微軟正黑體" w:hAnsi="微軟正黑體" w:cs="微軟正黑體" w:hint="eastAsia"/>
          <w:sz w:val="28"/>
          <w:szCs w:val="28"/>
        </w:rPr>
        <w:t>社區服務</w:t>
      </w:r>
      <w:proofErr w:type="spellEnd"/>
      <w:r w:rsidRPr="003E0E84">
        <w:rPr>
          <w:rFonts w:ascii="Proxima Nova Rg" w:hAnsi="Proxima Nova Rg"/>
          <w:sz w:val="28"/>
          <w:szCs w:val="28"/>
        </w:rPr>
        <w:t>/</w:t>
      </w:r>
      <w:proofErr w:type="spellStart"/>
      <w:r w:rsidRPr="003E0E84">
        <w:rPr>
          <w:rFonts w:ascii="微軟正黑體" w:eastAsia="微軟正黑體" w:hAnsi="微軟正黑體" w:cs="微軟正黑體" w:hint="eastAsia"/>
          <w:sz w:val="28"/>
          <w:szCs w:val="28"/>
        </w:rPr>
        <w:t>回饋</w:t>
      </w:r>
      <w:proofErr w:type="spellEnd"/>
    </w:p>
    <w:p w14:paraId="2CC85034" w14:textId="6D33BCB7" w:rsidR="009D68A1" w:rsidRPr="002A3C2E" w:rsidRDefault="009D68A1" w:rsidP="009D68A1">
      <w:pPr>
        <w:numPr>
          <w:ilvl w:val="1"/>
          <w:numId w:val="4"/>
        </w:numPr>
        <w:spacing w:after="240"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通過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公益金</w:t>
      </w:r>
      <w:r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捐贈和獎學金回饋社區，或提供金融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理財</w:t>
      </w:r>
      <w:r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教育和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贊</w:t>
      </w:r>
      <w:r w:rsidRPr="003E0E8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助社區活動</w:t>
      </w:r>
      <w:r w:rsidRPr="00A35A26">
        <w:rPr>
          <w:rFonts w:ascii="微軟正黑體" w:eastAsia="微軟正黑體" w:hAnsi="微軟正黑體" w:cs="微軟正黑體" w:hint="eastAsia"/>
          <w:bCs/>
          <w:sz w:val="28"/>
          <w:szCs w:val="28"/>
          <w:lang w:eastAsia="zh-TW"/>
        </w:rPr>
        <w:t>。</w:t>
      </w:r>
    </w:p>
    <w:p w14:paraId="1BB9A24D" w14:textId="57C06C0F" w:rsidR="009D68A1" w:rsidRPr="0098562C" w:rsidRDefault="009D68A1" w:rsidP="009D68A1">
      <w:pPr>
        <w:spacing w:line="300" w:lineRule="atLeast"/>
        <w:rPr>
          <w:rFonts w:ascii="Proxima Nova Rg" w:hAnsi="Proxima Nova Rg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如何</w:t>
      </w:r>
      <w:r w:rsidR="0025052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幫助</w:t>
      </w:r>
      <w:r w:rsidRPr="002A3C2E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成員改善生活</w:t>
      </w:r>
    </w:p>
    <w:p w14:paraId="3B941B6C" w14:textId="59321064" w:rsidR="009D68A1" w:rsidRPr="0098562C" w:rsidRDefault="009D68A1" w:rsidP="009D68A1">
      <w:pPr>
        <w:numPr>
          <w:ilvl w:val="0"/>
          <w:numId w:val="6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多年來，世界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蓄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互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助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議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事會在</w:t>
      </w:r>
      <w:r w:rsidRPr="002A3C2E">
        <w:rPr>
          <w:rFonts w:ascii="Proxima Nova Rg" w:hAnsi="Proxima Nova Rg"/>
          <w:sz w:val="28"/>
          <w:szCs w:val="28"/>
          <w:lang w:eastAsia="zh-TW"/>
        </w:rPr>
        <w:t>90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個國家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(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地區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)推動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實施了</w:t>
      </w:r>
      <w:r w:rsidRPr="002A3C2E">
        <w:rPr>
          <w:rFonts w:ascii="Proxima Nova Rg" w:hAnsi="Proxima Nova Rg"/>
          <w:sz w:val="28"/>
          <w:szCs w:val="28"/>
          <w:lang w:eastAsia="zh-TW"/>
        </w:rPr>
        <w:t>300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多個技術援助計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畫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。通過這些計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畫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，世界議事會介入支持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，幫助人們為自己和社區內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改善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生活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品質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，並為經濟機會和穩定提供市場解決方案</w:t>
      </w:r>
      <w:r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</w:p>
    <w:p w14:paraId="3BECC198" w14:textId="1512AF51" w:rsidR="009D68A1" w:rsidRPr="002A3C2E" w:rsidRDefault="009D68A1" w:rsidP="009D68A1">
      <w:pPr>
        <w:numPr>
          <w:ilvl w:val="0"/>
          <w:numId w:val="6"/>
        </w:numPr>
        <w:spacing w:after="240"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lastRenderedPageBreak/>
        <w:t>世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界議事會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幫助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成為從中斷到和平與賦權的過渡地區的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重要支持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力量。</w:t>
      </w:r>
      <w:r w:rsidRPr="0098562C">
        <w:rPr>
          <w:rFonts w:ascii="Proxima Nova Rg" w:hAnsi="Proxima Nova Rg"/>
          <w:sz w:val="28"/>
          <w:szCs w:val="28"/>
          <w:lang w:eastAsia="zh-TW"/>
        </w:rPr>
        <w:t xml:space="preserve"> </w:t>
      </w:r>
    </w:p>
    <w:p w14:paraId="04CBC960" w14:textId="4755A629" w:rsidR="009D68A1" w:rsidRPr="002A3C2E" w:rsidRDefault="009D68A1" w:rsidP="009D68A1">
      <w:pPr>
        <w:spacing w:after="240" w:line="300" w:lineRule="atLeast"/>
        <w:rPr>
          <w:rFonts w:ascii="Proxima Nova Rg" w:eastAsiaTheme="minorEastAsia" w:hAnsi="Proxima Nova Rg"/>
          <w:b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本地和全球對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社區的影響</w:t>
      </w:r>
      <w:r w:rsidR="0025052F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案例</w:t>
      </w:r>
    </w:p>
    <w:p w14:paraId="18F92398" w14:textId="6F72412B" w:rsidR="009D68A1" w:rsidRPr="002A3C2E" w:rsidRDefault="009D68A1" w:rsidP="009D68A1">
      <w:pPr>
        <w:numPr>
          <w:ilvl w:val="0"/>
          <w:numId w:val="5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世界議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事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會的</w:t>
      </w:r>
      <w:r w:rsidRPr="00D56379"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年度世界儲蓄互助社會議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為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蓄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互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助</w:t>
      </w:r>
      <w:r w:rsidRPr="00D5637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的全球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重要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活動，該活動將全球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專業人士匯集在一起，以獲得一流的教育和網絡機會。</w:t>
      </w:r>
      <w:hyperlink r:id="rId10" w:history="1"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世界議事會於</w:t>
        </w:r>
        <w:r w:rsidRPr="00D56379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2025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年</w:t>
        </w:r>
        <w:r w:rsidRPr="00D56379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7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月</w:t>
        </w:r>
        <w:r w:rsidRPr="00D56379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14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日至</w:t>
        </w:r>
        <w:r w:rsidRPr="00D56379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16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日在瑞典斯德哥爾摩舉行世界儲蓄互助社會議</w:t>
        </w:r>
      </w:hyperlink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。</w:t>
      </w:r>
    </w:p>
    <w:p w14:paraId="28D74F25" w14:textId="0DB6810C" w:rsidR="009D68A1" w:rsidRPr="002A3C2E" w:rsidRDefault="009D68A1" w:rsidP="009D68A1">
      <w:pPr>
        <w:numPr>
          <w:ilvl w:val="0"/>
          <w:numId w:val="5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世界議事會</w:t>
      </w:r>
      <w:hyperlink r:id="rId11" w:history="1"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挑戰</w:t>
        </w:r>
        <w:r w:rsidRPr="00D56379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2025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倡議</w:t>
        </w:r>
      </w:hyperlink>
      <w:r w:rsidR="0025052F">
        <w:rPr>
          <w:rFonts w:ascii="新細明體" w:eastAsia="新細明體" w:hAnsi="新細明體" w:cs="新細明體" w:hint="eastAsia"/>
          <w:lang w:eastAsia="zh-TW"/>
        </w:rPr>
        <w:t>，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旨在通過共享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訊息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來幫助會員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proofErr w:type="gramStart"/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建立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線上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數位</w:t>
      </w:r>
      <w:proofErr w:type="gramEnd"/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和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網路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服務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之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管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道，共享支付平台，增強網絡安全和數據分析來實現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系統的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數位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化。</w:t>
      </w:r>
    </w:p>
    <w:p w14:paraId="6703F882" w14:textId="1D37FD8D" w:rsidR="009D68A1" w:rsidRPr="002A3C2E" w:rsidRDefault="009D68A1" w:rsidP="009D68A1">
      <w:pPr>
        <w:numPr>
          <w:ilvl w:val="0"/>
          <w:numId w:val="5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與世界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合作，</w:t>
      </w:r>
      <w:hyperlink r:id="rId12" w:history="1"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全球儲蓄互助社基金會</w:t>
        </w:r>
      </w:hyperlink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（</w:t>
      </w:r>
      <w:r w:rsidRPr="002A3C2E">
        <w:rPr>
          <w:rFonts w:ascii="Proxima Nova Rg" w:hAnsi="Proxima Nova Rg"/>
          <w:sz w:val="28"/>
          <w:szCs w:val="28"/>
          <w:lang w:eastAsia="zh-TW"/>
        </w:rPr>
        <w:t>WFCU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）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透過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充滿活力且不斷增長的全球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系統擴大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其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金融包容性。</w:t>
      </w:r>
    </w:p>
    <w:p w14:paraId="1E618AAA" w14:textId="3A00998C" w:rsidR="009D68A1" w:rsidRPr="002A3C2E" w:rsidRDefault="009D68A1" w:rsidP="009D68A1">
      <w:pPr>
        <w:numPr>
          <w:ilvl w:val="0"/>
          <w:numId w:val="5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Proxima Nova Rg" w:hAnsi="Proxima Nova Rg"/>
          <w:sz w:val="28"/>
          <w:szCs w:val="28"/>
          <w:lang w:eastAsia="zh-TW"/>
        </w:rPr>
        <w:t>WFCU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的使命和慈善目的，在實現與世界議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事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會的共同願景時，是為了加深與美國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行業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利害關係人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的參與，邀請慈善事業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響應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，同時提供了專注於推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動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發展的</w:t>
      </w:r>
      <w:r w:rsidR="0025052F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管道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。</w:t>
      </w:r>
    </w:p>
    <w:p w14:paraId="1F1163C4" w14:textId="513ACED7" w:rsidR="009D68A1" w:rsidRPr="002A3C2E" w:rsidRDefault="009D68A1" w:rsidP="009D68A1">
      <w:pPr>
        <w:numPr>
          <w:ilvl w:val="0"/>
          <w:numId w:val="5"/>
        </w:numPr>
        <w:spacing w:line="300" w:lineRule="atLeast"/>
        <w:rPr>
          <w:rFonts w:ascii="Proxima Nova Rg" w:hAnsi="Proxima Nova Rg"/>
          <w:sz w:val="28"/>
          <w:szCs w:val="28"/>
          <w:lang w:eastAsia="zh-TW"/>
        </w:rPr>
      </w:pP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全球基金會的</w:t>
      </w:r>
      <w:hyperlink r:id="rId13" w:history="1"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全球</w:t>
        </w:r>
        <w:r w:rsidR="009F10FD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女性</w:t>
        </w:r>
        <w:r w:rsidRPr="00D56379">
          <w:rPr>
            <w:rStyle w:val="a7"/>
            <w:rFonts w:ascii="微軟正黑體" w:eastAsia="微軟正黑體" w:hAnsi="微軟正黑體" w:cs="微軟正黑體" w:hint="eastAsia"/>
            <w:b/>
            <w:bCs/>
            <w:sz w:val="28"/>
            <w:szCs w:val="28"/>
            <w:lang w:eastAsia="zh-TW"/>
          </w:rPr>
          <w:t>領導網絡</w:t>
        </w:r>
      </w:hyperlink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已與來自</w:t>
      </w:r>
      <w:r w:rsidRPr="002A3C2E">
        <w:rPr>
          <w:rFonts w:ascii="Proxima Nova Rg" w:hAnsi="Proxima Nova Rg"/>
          <w:sz w:val="28"/>
          <w:szCs w:val="28"/>
          <w:lang w:eastAsia="zh-TW"/>
        </w:rPr>
        <w:t>90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個國家</w:t>
      </w:r>
      <w:r w:rsidR="009F10FD">
        <w:rPr>
          <w:rFonts w:asciiTheme="minorEastAsia" w:eastAsiaTheme="minorEastAsia" w:hAnsiTheme="minorEastAsia" w:hint="eastAsia"/>
          <w:sz w:val="28"/>
          <w:szCs w:val="28"/>
          <w:lang w:eastAsia="zh-TW"/>
        </w:rPr>
        <w:t>(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地區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)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</w:t>
      </w:r>
      <w:r w:rsidRPr="002A3C2E">
        <w:rPr>
          <w:rFonts w:ascii="Proxima Nova Rg" w:hAnsi="Proxima Nova Rg"/>
          <w:sz w:val="28"/>
          <w:szCs w:val="28"/>
          <w:lang w:eastAsia="zh-TW"/>
        </w:rPr>
        <w:t>5,000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多名成員互動，以提高</w:t>
      </w: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儲蓄互助社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女性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領導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人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。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目前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已建立了</w:t>
      </w:r>
      <w:r w:rsidRPr="002A3C2E">
        <w:rPr>
          <w:rFonts w:ascii="Proxima Nova Rg" w:hAnsi="Proxima Nova Rg"/>
          <w:sz w:val="28"/>
          <w:szCs w:val="28"/>
          <w:lang w:eastAsia="zh-TW"/>
        </w:rPr>
        <w:t>28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個國家</w:t>
      </w:r>
      <w:r w:rsidR="009F10FD">
        <w:rPr>
          <w:rFonts w:asciiTheme="minorEastAsia" w:eastAsiaTheme="minorEastAsia" w:hAnsiTheme="minorEastAsia" w:hint="eastAsia"/>
          <w:sz w:val="28"/>
          <w:szCs w:val="28"/>
          <w:lang w:eastAsia="zh-TW"/>
        </w:rPr>
        <w:t>(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地區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)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的</w:t>
      </w:r>
      <w:r w:rsidRPr="002A3C2E">
        <w:rPr>
          <w:rFonts w:ascii="Proxima Nova Rg" w:hAnsi="Proxima Nova Rg"/>
          <w:sz w:val="28"/>
          <w:szCs w:val="28"/>
          <w:lang w:eastAsia="zh-TW"/>
        </w:rPr>
        <w:t>162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個姊妹社會，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提供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倡議</w:t>
      </w:r>
      <w:r w:rsid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以解決當地的問題</w:t>
      </w:r>
      <w:r w:rsidRPr="002A3C2E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。</w:t>
      </w:r>
    </w:p>
    <w:p w14:paraId="6BBC60AE" w14:textId="5F7C3E8A" w:rsidR="00C67100" w:rsidRPr="009F10FD" w:rsidRDefault="009D68A1" w:rsidP="00B06871">
      <w:pPr>
        <w:numPr>
          <w:ilvl w:val="0"/>
          <w:numId w:val="5"/>
        </w:numPr>
        <w:spacing w:after="240" w:line="300" w:lineRule="atLeast"/>
        <w:rPr>
          <w:rFonts w:ascii="Proxima Nova Rg" w:hAnsi="Proxima Nova Rg"/>
          <w:sz w:val="28"/>
          <w:szCs w:val="28"/>
          <w:lang w:eastAsia="zh-TW"/>
        </w:rPr>
      </w:pPr>
      <w:hyperlink r:id="rId14" w:history="1">
        <w:r w:rsidRPr="009F10FD">
          <w:rPr>
            <w:rStyle w:val="a7"/>
            <w:rFonts w:ascii="Proxima Nova Rg" w:hAnsi="Proxima Nova Rg"/>
            <w:b/>
            <w:bCs/>
            <w:sz w:val="28"/>
            <w:szCs w:val="28"/>
            <w:lang w:eastAsia="zh-TW"/>
          </w:rPr>
          <w:t>WYCUP</w:t>
        </w:r>
      </w:hyperlink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是全球基金會的年輕儲蓄互助社專業人士及其倡導者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所組成的，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與世界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各地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建立</w:t>
      </w:r>
      <w:r w:rsidRPr="009F10FD"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聯繫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，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並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以全球視角進行專業的倡導，</w:t>
      </w:r>
      <w:r w:rsidRPr="009F10FD">
        <w:rPr>
          <w:rFonts w:ascii="微軟正黑體" w:eastAsia="微軟正黑體" w:hAnsi="微軟正黑體" w:cs="微軟正黑體" w:hint="eastAsia"/>
          <w:b/>
          <w:bCs/>
          <w:sz w:val="28"/>
          <w:szCs w:val="28"/>
          <w:lang w:eastAsia="zh-TW"/>
        </w:rPr>
        <w:t>激發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了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透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過各地社區的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儲蓄互助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社</w:t>
      </w:r>
      <w:r w:rsidR="009F10FD"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及相關金融合作組織</w:t>
      </w:r>
      <w:r w:rsidRPr="009F10F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進行積極變革的力量。</w:t>
      </w:r>
      <w:r w:rsidRPr="009F10FD">
        <w:rPr>
          <w:rFonts w:cs="Arial"/>
          <w:color w:val="212529"/>
          <w:sz w:val="28"/>
          <w:szCs w:val="28"/>
          <w:shd w:val="clear" w:color="auto" w:fill="FFFFFF"/>
          <w:lang w:eastAsia="zh-TW"/>
        </w:rPr>
        <w:t>  </w:t>
      </w:r>
    </w:p>
    <w:sectPr w:rsidR="00C67100" w:rsidRPr="009F10FD" w:rsidSect="003F6319">
      <w:headerReference w:type="default" r:id="rId15"/>
      <w:footerReference w:type="default" r:id="rId16"/>
      <w:pgSz w:w="12240" w:h="15840"/>
      <w:pgMar w:top="1800" w:right="1440" w:bottom="1440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6AC3" w14:textId="77777777" w:rsidR="00AB0E64" w:rsidRDefault="00AB0E64" w:rsidP="008C7918">
      <w:r>
        <w:separator/>
      </w:r>
    </w:p>
  </w:endnote>
  <w:endnote w:type="continuationSeparator" w:id="0">
    <w:p w14:paraId="404A2103" w14:textId="77777777" w:rsidR="00AB0E64" w:rsidRDefault="00AB0E64" w:rsidP="008C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60B8" w14:textId="77777777" w:rsidR="003627D5" w:rsidRDefault="003627D5" w:rsidP="000C3B5A">
    <w:pPr>
      <w:pStyle w:val="a5"/>
      <w:jc w:val="center"/>
      <w:rPr>
        <w:rFonts w:ascii="Garamond" w:hAnsi="Garamond"/>
        <w:color w:val="003767"/>
        <w:sz w:val="18"/>
        <w:szCs w:val="18"/>
      </w:rPr>
    </w:pPr>
  </w:p>
  <w:p w14:paraId="6BBC60B9" w14:textId="77777777" w:rsidR="008C7918" w:rsidRPr="003704EB" w:rsidRDefault="008C7918" w:rsidP="001D327B">
    <w:pPr>
      <w:pStyle w:val="a5"/>
      <w:jc w:val="center"/>
      <w:rPr>
        <w:rFonts w:ascii="Garamond" w:hAnsi="Garamond"/>
        <w:color w:val="003767"/>
        <w:sz w:val="18"/>
        <w:szCs w:val="18"/>
      </w:rPr>
    </w:pPr>
    <w:r w:rsidRPr="003704EB">
      <w:rPr>
        <w:rFonts w:ascii="Garamond" w:hAnsi="Garamond"/>
        <w:color w:val="003767"/>
        <w:sz w:val="18"/>
        <w:szCs w:val="18"/>
      </w:rPr>
      <w:t>World Council of Credit Unions, Inc.</w:t>
    </w:r>
  </w:p>
  <w:p w14:paraId="6BBC60BA" w14:textId="6DEB5CCA" w:rsidR="008C7918" w:rsidRPr="003704EB" w:rsidRDefault="00E046C5" w:rsidP="001D327B">
    <w:pPr>
      <w:pStyle w:val="a5"/>
      <w:ind w:left="720"/>
      <w:jc w:val="center"/>
      <w:rPr>
        <w:rFonts w:ascii="Garamond" w:hAnsi="Garamond"/>
        <w:color w:val="4472C4" w:themeColor="accent1"/>
        <w:sz w:val="18"/>
        <w:szCs w:val="18"/>
      </w:rPr>
    </w:pPr>
    <w:r>
      <w:rPr>
        <w:rFonts w:ascii="Garamond" w:hAnsi="Garamond"/>
        <w:color w:val="003767"/>
        <w:sz w:val="18"/>
        <w:szCs w:val="18"/>
      </w:rPr>
      <w:t>P.O. Box 2982,</w:t>
    </w:r>
    <w:r w:rsidR="008C7918" w:rsidRPr="003704EB">
      <w:rPr>
        <w:rFonts w:ascii="Garamond" w:hAnsi="Garamond"/>
        <w:color w:val="003767"/>
        <w:sz w:val="18"/>
        <w:szCs w:val="18"/>
      </w:rPr>
      <w:t xml:space="preserve"> Madison, WI 5370</w:t>
    </w:r>
    <w:r>
      <w:rPr>
        <w:rFonts w:ascii="Garamond" w:hAnsi="Garamond"/>
        <w:color w:val="003767"/>
        <w:sz w:val="18"/>
        <w:szCs w:val="18"/>
      </w:rPr>
      <w:t>1</w:t>
    </w:r>
    <w:r w:rsidR="00D55787" w:rsidRPr="003704EB">
      <w:rPr>
        <w:rFonts w:ascii="Garamond" w:hAnsi="Garamond"/>
        <w:color w:val="003767"/>
        <w:sz w:val="18"/>
        <w:szCs w:val="18"/>
      </w:rPr>
      <w:t xml:space="preserve"> </w:t>
    </w:r>
    <w:r w:rsidR="002A1743">
      <w:rPr>
        <w:rFonts w:ascii="Garamond" w:hAnsi="Garamond"/>
        <w:noProof/>
        <w:color w:val="003767"/>
        <w:sz w:val="18"/>
        <w:szCs w:val="18"/>
      </w:rPr>
      <w:drawing>
        <wp:inline distT="0" distB="0" distL="0" distR="0" wp14:anchorId="6BBC60C1" wp14:editId="6BBC60C2">
          <wp:extent cx="48895" cy="42545"/>
          <wp:effectExtent l="0" t="0" r="825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DB913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B5A" w:rsidRPr="00F240C4">
      <w:rPr>
        <w:rFonts w:ascii="Garamond" w:hAnsi="Garamond"/>
        <w:noProof/>
        <w:sz w:val="18"/>
        <w:szCs w:val="18"/>
      </w:rPr>
      <w:drawing>
        <wp:inline distT="0" distB="0" distL="0" distR="0" wp14:anchorId="6BBC60C3" wp14:editId="6BBC60C4">
          <wp:extent cx="93134" cy="93134"/>
          <wp:effectExtent l="0" t="0" r="2540" b="2540"/>
          <wp:docPr id="4" name="Graphic 4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?provider=MicrosoftIcon&amp;fileName=Receiver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2" cy="95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7918" w:rsidRPr="00F240C4">
      <w:rPr>
        <w:rFonts w:ascii="Garamond" w:hAnsi="Garamond"/>
        <w:sz w:val="18"/>
        <w:szCs w:val="18"/>
      </w:rPr>
      <w:t xml:space="preserve"> </w:t>
    </w:r>
    <w:r w:rsidR="000C3B5A" w:rsidRPr="003704EB">
      <w:rPr>
        <w:rFonts w:ascii="Garamond" w:hAnsi="Garamond"/>
        <w:color w:val="003767"/>
        <w:sz w:val="18"/>
        <w:szCs w:val="18"/>
      </w:rPr>
      <w:t xml:space="preserve">+1-608-395-2000 </w:t>
    </w:r>
    <w:r w:rsidR="003704EB">
      <w:rPr>
        <w:rFonts w:ascii="Garamond" w:hAnsi="Garamond"/>
        <w:noProof/>
        <w:sz w:val="18"/>
        <w:szCs w:val="18"/>
      </w:rPr>
      <w:drawing>
        <wp:inline distT="0" distB="0" distL="0" distR="0" wp14:anchorId="6BBC60C5" wp14:editId="6BBC60C6">
          <wp:extent cx="48895" cy="42545"/>
          <wp:effectExtent l="0" t="0" r="825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prstClr val="black"/>
                      <a:srgbClr val="FDB913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04EB">
      <w:rPr>
        <w:rFonts w:ascii="Garamond" w:hAnsi="Garamond"/>
        <w:sz w:val="18"/>
        <w:szCs w:val="18"/>
      </w:rPr>
      <w:t xml:space="preserve"> </w:t>
    </w:r>
    <w:r w:rsidR="000C3B5A" w:rsidRPr="00F240C4">
      <w:rPr>
        <w:rFonts w:ascii="Garamond" w:hAnsi="Garamond"/>
        <w:noProof/>
        <w:sz w:val="18"/>
        <w:szCs w:val="18"/>
      </w:rPr>
      <w:drawing>
        <wp:inline distT="0" distB="0" distL="0" distR="0" wp14:anchorId="6BBC60C7" wp14:editId="6BBC60C8">
          <wp:extent cx="84667" cy="84667"/>
          <wp:effectExtent l="0" t="0" r="0" b="0"/>
          <wp:docPr id="5" name="Graphic 5" descr="Pr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?provider=MicrosoftIcon&amp;fileName=Print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85" cy="8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5787">
      <w:rPr>
        <w:rFonts w:ascii="Garamond" w:hAnsi="Garamond"/>
        <w:sz w:val="18"/>
        <w:szCs w:val="18"/>
      </w:rPr>
      <w:t xml:space="preserve"> </w:t>
    </w:r>
    <w:r w:rsidR="00D55787" w:rsidRPr="003704EB">
      <w:rPr>
        <w:rFonts w:ascii="Garamond" w:hAnsi="Garamond"/>
        <w:color w:val="003767"/>
        <w:sz w:val="18"/>
        <w:szCs w:val="18"/>
      </w:rPr>
      <w:t>+1-608-395-2001</w:t>
    </w:r>
  </w:p>
  <w:p w14:paraId="6BBC60BB" w14:textId="46874384" w:rsidR="003704EB" w:rsidRDefault="00876448" w:rsidP="001D327B">
    <w:pPr>
      <w:pStyle w:val="a5"/>
      <w:jc w:val="center"/>
      <w:rPr>
        <w:rFonts w:ascii="Garamond" w:hAnsi="Garamond"/>
        <w:color w:val="4472C4" w:themeColor="accent1"/>
        <w:sz w:val="18"/>
        <w:szCs w:val="18"/>
      </w:rPr>
    </w:pPr>
    <w:r>
      <w:rPr>
        <w:rFonts w:ascii="Garamond" w:hAnsi="Garamond"/>
        <w:color w:val="003767"/>
        <w:sz w:val="18"/>
        <w:szCs w:val="18"/>
      </w:rPr>
      <w:t>99 M Street SE, Suite 300</w:t>
    </w:r>
    <w:r w:rsidR="000C3B5A" w:rsidRPr="003704EB">
      <w:rPr>
        <w:rFonts w:ascii="Garamond" w:hAnsi="Garamond"/>
        <w:color w:val="003767"/>
        <w:sz w:val="18"/>
        <w:szCs w:val="18"/>
      </w:rPr>
      <w:t>, Washington, DC 2000</w:t>
    </w:r>
    <w:r>
      <w:rPr>
        <w:rFonts w:ascii="Garamond" w:hAnsi="Garamond"/>
        <w:color w:val="003767"/>
        <w:sz w:val="18"/>
        <w:szCs w:val="18"/>
      </w:rPr>
      <w:t>3</w:t>
    </w:r>
    <w:r w:rsidR="000C3B5A" w:rsidRPr="003704EB">
      <w:rPr>
        <w:rFonts w:ascii="Garamond" w:hAnsi="Garamond"/>
        <w:color w:val="003767"/>
        <w:sz w:val="18"/>
        <w:szCs w:val="18"/>
      </w:rPr>
      <w:t xml:space="preserve"> </w:t>
    </w:r>
    <w:r w:rsidR="003F6319">
      <w:rPr>
        <w:rFonts w:ascii="Garamond" w:hAnsi="Garamond"/>
        <w:noProof/>
        <w:color w:val="003767"/>
        <w:sz w:val="18"/>
        <w:szCs w:val="18"/>
      </w:rPr>
      <w:drawing>
        <wp:inline distT="0" distB="0" distL="0" distR="0" wp14:anchorId="6BBC60C9" wp14:editId="6BBC60CA">
          <wp:extent cx="48895" cy="42545"/>
          <wp:effectExtent l="0" t="0" r="825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04EB" w:rsidRPr="003704EB">
      <w:rPr>
        <w:rFonts w:ascii="Garamond" w:hAnsi="Garamond"/>
        <w:noProof/>
        <w:color w:val="003767"/>
        <w:sz w:val="18"/>
        <w:szCs w:val="18"/>
      </w:rPr>
      <w:drawing>
        <wp:inline distT="0" distB="0" distL="0" distR="0" wp14:anchorId="6BBC60CB" wp14:editId="6BBC60CC">
          <wp:extent cx="91440" cy="91440"/>
          <wp:effectExtent l="0" t="0" r="3810" b="381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B5A" w:rsidRPr="003704EB">
      <w:rPr>
        <w:rFonts w:ascii="Garamond" w:hAnsi="Garamond"/>
        <w:color w:val="003767"/>
        <w:sz w:val="18"/>
        <w:szCs w:val="18"/>
      </w:rPr>
      <w:t>+1-202-638-0205</w:t>
    </w:r>
  </w:p>
  <w:p w14:paraId="6BBC60BC" w14:textId="77777777" w:rsidR="000C3B5A" w:rsidRPr="003704EB" w:rsidRDefault="003704EB" w:rsidP="001D327B">
    <w:pPr>
      <w:pStyle w:val="a5"/>
      <w:jc w:val="center"/>
      <w:rPr>
        <w:rFonts w:ascii="Garamond" w:hAnsi="Garamond"/>
        <w:color w:val="003767"/>
        <w:sz w:val="18"/>
        <w:szCs w:val="18"/>
      </w:rPr>
    </w:pPr>
    <w:hyperlink r:id="rId9" w:history="1">
      <w:r w:rsidRPr="003704EB">
        <w:rPr>
          <w:rStyle w:val="a7"/>
          <w:rFonts w:ascii="Garamond" w:hAnsi="Garamond"/>
          <w:color w:val="003767"/>
          <w:sz w:val="18"/>
          <w:szCs w:val="18"/>
        </w:rPr>
        <w:t>www.woccu.org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5213" w14:textId="77777777" w:rsidR="00AB0E64" w:rsidRDefault="00AB0E64" w:rsidP="008C7918">
      <w:r>
        <w:separator/>
      </w:r>
    </w:p>
  </w:footnote>
  <w:footnote w:type="continuationSeparator" w:id="0">
    <w:p w14:paraId="5100F86F" w14:textId="77777777" w:rsidR="00AB0E64" w:rsidRDefault="00AB0E64" w:rsidP="008C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1CA9" w14:textId="6A7257E2" w:rsidR="00DA52C4" w:rsidRDefault="008C7918" w:rsidP="00DA52C4">
    <w:pPr>
      <w:pStyle w:val="a3"/>
      <w:ind w:left="-630"/>
      <w:rPr>
        <w:rFonts w:eastAsiaTheme="minorEastAsia"/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C60BD" wp14:editId="6BBC60BE">
              <wp:simplePos x="0" y="0"/>
              <wp:positionH relativeFrom="column">
                <wp:posOffset>510540</wp:posOffset>
              </wp:positionH>
              <wp:positionV relativeFrom="paragraph">
                <wp:posOffset>800099</wp:posOffset>
              </wp:positionV>
              <wp:extent cx="5943600" cy="5715"/>
              <wp:effectExtent l="0" t="0" r="1905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5715"/>
                      </a:xfrm>
                      <a:prstGeom prst="line">
                        <a:avLst/>
                      </a:prstGeom>
                      <a:ln w="12700">
                        <a:solidFill>
                          <a:srgbClr val="FDB913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041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63pt" to="508.2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" strokecolor="#fdb913" strokeweight="1pt">
              <v:stroke joinstyle="miter"/>
            </v:line>
          </w:pict>
        </mc:Fallback>
      </mc:AlternateContent>
    </w:r>
    <w:r w:rsidR="00606244">
      <w:rPr>
        <w:noProof/>
      </w:rPr>
      <w:drawing>
        <wp:inline distT="0" distB="0" distL="0" distR="0" wp14:anchorId="172F5BBC" wp14:editId="469F25C9">
          <wp:extent cx="3095625" cy="695713"/>
          <wp:effectExtent l="0" t="0" r="0" b="9525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ldcouncil4cl_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172" cy="730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E6A45" w14:textId="77777777" w:rsidR="00DA52C4" w:rsidRPr="00DA52C4" w:rsidRDefault="00DA52C4" w:rsidP="00DA52C4">
    <w:pPr>
      <w:pStyle w:val="a3"/>
      <w:ind w:left="-630"/>
      <w:rPr>
        <w:rFonts w:eastAsiaTheme="minor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23B"/>
    <w:multiLevelType w:val="hybridMultilevel"/>
    <w:tmpl w:val="A486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262"/>
    <w:multiLevelType w:val="hybridMultilevel"/>
    <w:tmpl w:val="50A2C3FC"/>
    <w:lvl w:ilvl="0" w:tplc="AE42A76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B51"/>
    <w:multiLevelType w:val="hybridMultilevel"/>
    <w:tmpl w:val="3D22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0514"/>
    <w:multiLevelType w:val="hybridMultilevel"/>
    <w:tmpl w:val="0B8E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4413"/>
    <w:multiLevelType w:val="hybridMultilevel"/>
    <w:tmpl w:val="15060A5E"/>
    <w:lvl w:ilvl="0" w:tplc="4F306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C57DB"/>
    <w:multiLevelType w:val="hybridMultilevel"/>
    <w:tmpl w:val="752462B8"/>
    <w:lvl w:ilvl="0" w:tplc="2E76EE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56DF7"/>
    <w:multiLevelType w:val="hybridMultilevel"/>
    <w:tmpl w:val="D2C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4377">
    <w:abstractNumId w:val="2"/>
  </w:num>
  <w:num w:numId="2" w16cid:durableId="2077781465">
    <w:abstractNumId w:val="1"/>
  </w:num>
  <w:num w:numId="3" w16cid:durableId="1666854779">
    <w:abstractNumId w:val="5"/>
  </w:num>
  <w:num w:numId="4" w16cid:durableId="757944297">
    <w:abstractNumId w:val="4"/>
  </w:num>
  <w:num w:numId="5" w16cid:durableId="612515735">
    <w:abstractNumId w:val="0"/>
  </w:num>
  <w:num w:numId="6" w16cid:durableId="1428846357">
    <w:abstractNumId w:val="6"/>
  </w:num>
  <w:num w:numId="7" w16cid:durableId="2969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D"/>
    <w:rsid w:val="00060F5D"/>
    <w:rsid w:val="000646C0"/>
    <w:rsid w:val="00096BEF"/>
    <w:rsid w:val="000C3B5A"/>
    <w:rsid w:val="000D5C6E"/>
    <w:rsid w:val="001B0CD4"/>
    <w:rsid w:val="001D327B"/>
    <w:rsid w:val="0023224F"/>
    <w:rsid w:val="002350CC"/>
    <w:rsid w:val="0025052F"/>
    <w:rsid w:val="00251518"/>
    <w:rsid w:val="00280478"/>
    <w:rsid w:val="002A1743"/>
    <w:rsid w:val="002F1BDE"/>
    <w:rsid w:val="00302CFE"/>
    <w:rsid w:val="00334A6A"/>
    <w:rsid w:val="003627D5"/>
    <w:rsid w:val="003704EB"/>
    <w:rsid w:val="003725EB"/>
    <w:rsid w:val="003C1C4A"/>
    <w:rsid w:val="003D3A1D"/>
    <w:rsid w:val="003F6319"/>
    <w:rsid w:val="0045430C"/>
    <w:rsid w:val="00471843"/>
    <w:rsid w:val="00486B57"/>
    <w:rsid w:val="004D6843"/>
    <w:rsid w:val="005D3EF8"/>
    <w:rsid w:val="005D4B94"/>
    <w:rsid w:val="00606244"/>
    <w:rsid w:val="00643D27"/>
    <w:rsid w:val="00670C51"/>
    <w:rsid w:val="006B312F"/>
    <w:rsid w:val="006B390D"/>
    <w:rsid w:val="006B5983"/>
    <w:rsid w:val="0073399D"/>
    <w:rsid w:val="00751B57"/>
    <w:rsid w:val="007A213F"/>
    <w:rsid w:val="007C23E7"/>
    <w:rsid w:val="007C36FB"/>
    <w:rsid w:val="007E06E3"/>
    <w:rsid w:val="008403DA"/>
    <w:rsid w:val="00876448"/>
    <w:rsid w:val="008C7918"/>
    <w:rsid w:val="008D7A0B"/>
    <w:rsid w:val="008E7F6F"/>
    <w:rsid w:val="00975240"/>
    <w:rsid w:val="00981F87"/>
    <w:rsid w:val="009B7A92"/>
    <w:rsid w:val="009D68A1"/>
    <w:rsid w:val="009F10FD"/>
    <w:rsid w:val="00A16E59"/>
    <w:rsid w:val="00A466E8"/>
    <w:rsid w:val="00A6636A"/>
    <w:rsid w:val="00AB0E64"/>
    <w:rsid w:val="00BC22D6"/>
    <w:rsid w:val="00C55B57"/>
    <w:rsid w:val="00C56B09"/>
    <w:rsid w:val="00C67100"/>
    <w:rsid w:val="00C81D1D"/>
    <w:rsid w:val="00C96E13"/>
    <w:rsid w:val="00CC76B5"/>
    <w:rsid w:val="00CE3108"/>
    <w:rsid w:val="00D10AAE"/>
    <w:rsid w:val="00D33020"/>
    <w:rsid w:val="00D44552"/>
    <w:rsid w:val="00D455F2"/>
    <w:rsid w:val="00D55787"/>
    <w:rsid w:val="00DA407C"/>
    <w:rsid w:val="00DA52C4"/>
    <w:rsid w:val="00E046C5"/>
    <w:rsid w:val="00E11CEF"/>
    <w:rsid w:val="00E8253A"/>
    <w:rsid w:val="00E848A7"/>
    <w:rsid w:val="00E92F89"/>
    <w:rsid w:val="00EA29B0"/>
    <w:rsid w:val="00EE1C5D"/>
    <w:rsid w:val="00F00A61"/>
    <w:rsid w:val="00F240C4"/>
    <w:rsid w:val="00F47DB6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C6090"/>
  <w15:chartTrackingRefBased/>
  <w15:docId w15:val="{8BCCBEA7-C3C1-4B8C-A98D-2FBA257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18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8C7918"/>
  </w:style>
  <w:style w:type="paragraph" w:styleId="a5">
    <w:name w:val="footer"/>
    <w:basedOn w:val="a"/>
    <w:link w:val="a6"/>
    <w:uiPriority w:val="99"/>
    <w:unhideWhenUsed/>
    <w:rsid w:val="008C7918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8C7918"/>
  </w:style>
  <w:style w:type="character" w:styleId="a7">
    <w:name w:val="Hyperlink"/>
    <w:basedOn w:val="a0"/>
    <w:unhideWhenUsed/>
    <w:rsid w:val="000C3B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3B5A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F240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A1743"/>
    <w:rPr>
      <w:rFonts w:ascii="Segoe UI" w:hAnsi="Segoe UI" w:cs="Segoe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1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uwomen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globalgood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ccu.org/about/challenge_2025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cu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ycup.or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sv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hyperlink" Target="http://www.wocc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1a604f-170f-4b25-b010-a745d38278ec">
      <UserInfo>
        <DisplayName>Lisa Person</DisplayName>
        <AccountId>36</AccountId>
        <AccountType/>
      </UserInfo>
      <UserInfo>
        <DisplayName>Victoria Ansarah</DisplayName>
        <AccountId>138</AccountId>
        <AccountType/>
      </UserInfo>
      <UserInfo>
        <DisplayName>Thomas Belekevich</DisplayName>
        <AccountId>71</AccountId>
        <AccountType/>
      </UserInfo>
    </SharedWithUsers>
    <lcf76f155ced4ddcb4097134ff3c332f xmlns="f41b9935-6842-4276-88a3-9ae862fe13e0">
      <Terms xmlns="http://schemas.microsoft.com/office/infopath/2007/PartnerControls"/>
    </lcf76f155ced4ddcb4097134ff3c332f>
    <TaxCatchAll xmlns="b11a604f-170f-4b25-b010-a745d38278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8A4F5B47D524285303935123B7809" ma:contentTypeVersion="18" ma:contentTypeDescription="Create a new document." ma:contentTypeScope="" ma:versionID="d700d88b45f07281c5078a3dc0c2ae48">
  <xsd:schema xmlns:xsd="http://www.w3.org/2001/XMLSchema" xmlns:xs="http://www.w3.org/2001/XMLSchema" xmlns:p="http://schemas.microsoft.com/office/2006/metadata/properties" xmlns:ns2="f41b9935-6842-4276-88a3-9ae862fe13e0" xmlns:ns3="b11a604f-170f-4b25-b010-a745d38278ec" targetNamespace="http://schemas.microsoft.com/office/2006/metadata/properties" ma:root="true" ma:fieldsID="21b3bd7bed3eeb3d4fba205a1bf95e20" ns2:_="" ns3:_="">
    <xsd:import namespace="f41b9935-6842-4276-88a3-9ae862fe13e0"/>
    <xsd:import namespace="b11a604f-170f-4b25-b010-a745d3827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9935-6842-4276-88a3-9ae862fe1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c82733-9718-4da3-9572-e64542f45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604f-170f-4b25-b010-a745d3827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2bab29-0ac5-4abd-939d-05300d5fbad5}" ma:internalName="TaxCatchAll" ma:showField="CatchAllData" ma:web="b11a604f-170f-4b25-b010-a745d3827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BD5B8-C4C0-4C0C-B61D-BAB30FAFA180}">
  <ds:schemaRefs>
    <ds:schemaRef ds:uri="http://schemas.microsoft.com/office/2006/metadata/properties"/>
    <ds:schemaRef ds:uri="http://schemas.microsoft.com/office/infopath/2007/PartnerControls"/>
    <ds:schemaRef ds:uri="b11a604f-170f-4b25-b010-a745d38278ec"/>
    <ds:schemaRef ds:uri="f41b9935-6842-4276-88a3-9ae862fe13e0"/>
  </ds:schemaRefs>
</ds:datastoreItem>
</file>

<file path=customXml/itemProps2.xml><?xml version="1.0" encoding="utf-8"?>
<ds:datastoreItem xmlns:ds="http://schemas.openxmlformats.org/officeDocument/2006/customXml" ds:itemID="{7BC7097D-F384-47AC-9C43-BEE3C78AD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9935-6842-4276-88a3-9ae862fe13e0"/>
    <ds:schemaRef ds:uri="b11a604f-170f-4b25-b010-a745d3827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70BD0-7923-4165-AB02-A1BED0D2D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EGiakoumopoulos</dc:creator>
  <cp:keywords/>
  <dc:description/>
  <cp:lastModifiedBy>arick kang</cp:lastModifiedBy>
  <cp:revision>5</cp:revision>
  <cp:lastPrinted>2017-12-29T22:15:00Z</cp:lastPrinted>
  <dcterms:created xsi:type="dcterms:W3CDTF">2025-07-17T06:01:00Z</dcterms:created>
  <dcterms:modified xsi:type="dcterms:W3CDTF">2025-07-17T07:38:00Z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0x010100C9D8A4F5B47D524285303935123B7809</vt:lpwstr>
  </property>
  <property fmtid="{D5CDD505-2E9C-101B-9397-08002B2CF9AE}" pid="3" name="_dlc_DocIdItemGuid">
    <vt:lpwstr>30a98237-dc5a-4b35-be9f-66c542fc665d</vt:lpwstr>
  </property>
  <property fmtid="{D5CDD505-2E9C-101B-9397-08002B2CF9AE}" pid="4" name="MediaServiceImageTags">
    <vt:lpwstr/>
  </property>
</Properties>
</file>